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6D" w:rsidRPr="0033206D" w:rsidRDefault="0033206D" w:rsidP="0033206D">
      <w:pPr>
        <w:jc w:val="both"/>
        <w:rPr>
          <w:rFonts w:ascii="Arial" w:hAnsi="Arial" w:cs="Arial"/>
          <w:b/>
          <w:bCs/>
        </w:rPr>
      </w:pPr>
      <w:r w:rsidRPr="0033206D">
        <w:rPr>
          <w:rFonts w:ascii="Arial" w:hAnsi="Arial" w:cs="Arial"/>
          <w:b/>
          <w:bCs/>
        </w:rPr>
        <w:t>Moot Points: Offering an opportunity for authentic assessment in Commonwealth Constitutional Law</w:t>
      </w:r>
    </w:p>
    <w:p w:rsidR="0033206D" w:rsidRPr="0033206D" w:rsidRDefault="0033206D" w:rsidP="0033206D">
      <w:pPr>
        <w:jc w:val="both"/>
        <w:rPr>
          <w:rFonts w:ascii="Arial" w:hAnsi="Arial" w:cs="Arial"/>
        </w:rPr>
      </w:pPr>
      <w:r w:rsidRPr="0033206D">
        <w:rPr>
          <w:rFonts w:ascii="Arial" w:hAnsi="Arial" w:cs="Arial"/>
        </w:rPr>
        <w:t>Katherine Lindsay</w:t>
      </w:r>
    </w:p>
    <w:p w:rsidR="0033206D" w:rsidRDefault="0033206D" w:rsidP="0033206D">
      <w:pPr>
        <w:jc w:val="both"/>
        <w:rPr>
          <w:rFonts w:ascii="Arial" w:hAnsi="Arial" w:cs="Arial"/>
        </w:rPr>
      </w:pPr>
      <w:r w:rsidRPr="0033206D">
        <w:rPr>
          <w:rFonts w:ascii="Arial" w:hAnsi="Arial" w:cs="Arial"/>
        </w:rPr>
        <w:t xml:space="preserve">Newcastle Law School, </w:t>
      </w:r>
      <w:proofErr w:type="gramStart"/>
      <w:r w:rsidRPr="0033206D">
        <w:rPr>
          <w:rFonts w:ascii="Arial" w:hAnsi="Arial" w:cs="Arial"/>
        </w:rPr>
        <w:t>The</w:t>
      </w:r>
      <w:proofErr w:type="gramEnd"/>
      <w:r w:rsidRPr="0033206D">
        <w:rPr>
          <w:rFonts w:ascii="Arial" w:hAnsi="Arial" w:cs="Arial"/>
        </w:rPr>
        <w:t xml:space="preserve"> University of Newcastle, Australia</w:t>
      </w:r>
    </w:p>
    <w:p w:rsidR="0033206D" w:rsidRPr="0033206D" w:rsidRDefault="0033206D" w:rsidP="0033206D">
      <w:pPr>
        <w:jc w:val="both"/>
        <w:rPr>
          <w:rFonts w:ascii="Arial" w:hAnsi="Arial" w:cs="Arial"/>
        </w:rPr>
      </w:pPr>
      <w:r>
        <w:rPr>
          <w:rFonts w:ascii="Arial" w:hAnsi="Arial" w:cs="Arial"/>
        </w:rPr>
        <w:t>&amp; Virginia Newell (formerly Newcastle Law School)</w:t>
      </w:r>
    </w:p>
    <w:p w:rsidR="0033206D" w:rsidRPr="0033206D" w:rsidRDefault="0033206D" w:rsidP="0033206D">
      <w:pPr>
        <w:jc w:val="both"/>
        <w:rPr>
          <w:rFonts w:ascii="Arial" w:hAnsi="Arial" w:cs="Arial"/>
        </w:rPr>
      </w:pPr>
    </w:p>
    <w:p w:rsidR="0033206D" w:rsidRPr="0033206D" w:rsidRDefault="0033206D" w:rsidP="0033206D">
      <w:pPr>
        <w:jc w:val="both"/>
        <w:rPr>
          <w:rFonts w:ascii="Arial" w:hAnsi="Arial" w:cs="Arial"/>
          <w:b/>
        </w:rPr>
      </w:pPr>
      <w:r w:rsidRPr="0033206D">
        <w:rPr>
          <w:rFonts w:ascii="Arial" w:hAnsi="Arial" w:cs="Arial"/>
          <w:b/>
        </w:rPr>
        <w:t>Abstract</w:t>
      </w:r>
    </w:p>
    <w:p w:rsidR="0033206D" w:rsidRPr="00257FE2" w:rsidRDefault="0033206D" w:rsidP="0033206D">
      <w:pPr>
        <w:jc w:val="both"/>
        <w:rPr>
          <w:rFonts w:ascii="Arial" w:hAnsi="Arial" w:cs="Arial"/>
          <w:b/>
          <w:i/>
        </w:rPr>
      </w:pPr>
      <w:r w:rsidRPr="0033206D">
        <w:rPr>
          <w:rFonts w:ascii="Arial" w:hAnsi="Arial" w:cs="Arial"/>
          <w:i/>
        </w:rPr>
        <w:t>Facilitating deep learning</w:t>
      </w:r>
      <w:r w:rsidRPr="0033206D">
        <w:rPr>
          <w:rStyle w:val="FootnoteReference"/>
          <w:rFonts w:ascii="Arial" w:hAnsi="Arial" w:cs="Arial"/>
          <w:i/>
        </w:rPr>
        <w:footnoteReference w:id="1"/>
      </w:r>
      <w:r w:rsidRPr="0033206D">
        <w:rPr>
          <w:rFonts w:ascii="Arial" w:hAnsi="Arial" w:cs="Arial"/>
          <w:i/>
        </w:rPr>
        <w:t xml:space="preserve"> and engagement in law students in compulsory courses is an inevitable challenge.  This is certainly true in public law courses taught over a single semester</w:t>
      </w:r>
      <w:proofErr w:type="gramStart"/>
      <w:r w:rsidRPr="0033206D">
        <w:rPr>
          <w:rFonts w:ascii="Arial" w:hAnsi="Arial" w:cs="Arial"/>
          <w:i/>
        </w:rPr>
        <w:t>,  in</w:t>
      </w:r>
      <w:proofErr w:type="gramEnd"/>
      <w:r w:rsidRPr="0033206D">
        <w:rPr>
          <w:rFonts w:ascii="Arial" w:hAnsi="Arial" w:cs="Arial"/>
          <w:i/>
        </w:rPr>
        <w:t xml:space="preserve"> which some student “conscripts” are challenged or even baffled by the conceptual frameworks, the level of abstraction of legal argument and judicial statement, and the sheer volume of primary data to be ingested.  One of the ways in which deep learning can be facilitated is through the use of “authentic” assessment tasks.</w:t>
      </w:r>
      <w:r w:rsidRPr="0033206D">
        <w:rPr>
          <w:rStyle w:val="FootnoteReference"/>
          <w:rFonts w:ascii="Arial" w:hAnsi="Arial" w:cs="Arial"/>
          <w:i/>
        </w:rPr>
        <w:footnoteReference w:id="2"/>
      </w:r>
      <w:r w:rsidRPr="0033206D">
        <w:rPr>
          <w:rFonts w:ascii="Arial" w:hAnsi="Arial" w:cs="Arial"/>
          <w:i/>
        </w:rPr>
        <w:t>  This poster explores the offering of mooting assessments in Commonwealth Constitutional Law at the Newcastle Law School, Australia, as an example of an authentic assessment task designed to promote deep learning in students.  There are many “points” or dimensions to this opportunity for students: the opportunity to learn professional writing skills in written submissions, the opportunity to enhance oral communication skills in an appellate advocacy setting, the opportunity to approach constitutional law topics through the lens of advocacy, and not just judicial statement, the opportunity to enhance critical thinking and persuasive writing skills.  One of the advantages of the way in which this assessment offering is designed at Newcastle, is that whilst it aligns with the school’s traditional integrated clinical ethos, the moot assessment</w:t>
      </w:r>
      <w:r w:rsidRPr="0033206D">
        <w:rPr>
          <w:rFonts w:ascii="Arial" w:hAnsi="Arial" w:cs="Arial"/>
        </w:rPr>
        <w:t xml:space="preserve"> </w:t>
      </w:r>
      <w:r w:rsidRPr="0033206D">
        <w:rPr>
          <w:rFonts w:ascii="Arial" w:hAnsi="Arial" w:cs="Arial"/>
          <w:i/>
        </w:rPr>
        <w:t xml:space="preserve">in not compulsory, but one of a range of assessment types available in the course. </w:t>
      </w:r>
    </w:p>
    <w:p w:rsidR="00257FE2" w:rsidRPr="00257FE2" w:rsidRDefault="00257FE2" w:rsidP="0033206D">
      <w:pPr>
        <w:jc w:val="both"/>
        <w:rPr>
          <w:rFonts w:ascii="Arial" w:hAnsi="Arial" w:cs="Arial"/>
          <w:b/>
          <w:i/>
        </w:rPr>
      </w:pPr>
    </w:p>
    <w:p w:rsidR="00257FE2" w:rsidRPr="00257FE2" w:rsidRDefault="00257FE2" w:rsidP="0033206D">
      <w:pPr>
        <w:jc w:val="both"/>
        <w:rPr>
          <w:rFonts w:ascii="Arial" w:hAnsi="Arial" w:cs="Arial"/>
          <w:b/>
        </w:rPr>
      </w:pPr>
      <w:r w:rsidRPr="00257FE2">
        <w:rPr>
          <w:rFonts w:ascii="Arial" w:hAnsi="Arial" w:cs="Arial"/>
          <w:b/>
        </w:rPr>
        <w:t>Teaching and Learning Objectives</w:t>
      </w:r>
      <w:r w:rsidR="00535EDB">
        <w:rPr>
          <w:rFonts w:ascii="Arial" w:hAnsi="Arial" w:cs="Arial"/>
          <w:b/>
        </w:rPr>
        <w:t xml:space="preserve"> in Commonwealth Constitutional Law</w:t>
      </w:r>
    </w:p>
    <w:p w:rsidR="0033206D" w:rsidRDefault="0033206D" w:rsidP="0033206D">
      <w:pPr>
        <w:jc w:val="both"/>
        <w:rPr>
          <w:rFonts w:ascii="Arial" w:hAnsi="Arial" w:cs="Arial"/>
        </w:rPr>
      </w:pPr>
    </w:p>
    <w:p w:rsidR="0033206D" w:rsidRPr="00E354B6" w:rsidRDefault="0033206D" w:rsidP="0033206D">
      <w:pPr>
        <w:pStyle w:val="DocumentHeading"/>
        <w:ind w:left="72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The </w:t>
      </w:r>
      <w:r w:rsidRPr="00E354B6">
        <w:rPr>
          <w:rFonts w:ascii="Arial" w:hAnsi="Arial" w:cs="Arial"/>
          <w:i/>
          <w:smallCaps w:val="0"/>
          <w:noProof w:val="0"/>
          <w:sz w:val="22"/>
          <w:szCs w:val="22"/>
          <w:lang w:val="en-US"/>
        </w:rPr>
        <w:t>teaching objectives</w:t>
      </w:r>
      <w:r w:rsidR="00257FE2">
        <w:rPr>
          <w:rFonts w:ascii="Arial" w:hAnsi="Arial" w:cs="Arial"/>
          <w:b w:val="0"/>
          <w:smallCaps w:val="0"/>
          <w:noProof w:val="0"/>
          <w:sz w:val="22"/>
          <w:szCs w:val="22"/>
          <w:lang w:val="en-US"/>
        </w:rPr>
        <w:t xml:space="preserve"> adopted by Kate for this [Constitutional Law]</w:t>
      </w:r>
      <w:r w:rsidR="00535EDB">
        <w:rPr>
          <w:rFonts w:ascii="Arial" w:hAnsi="Arial" w:cs="Arial"/>
          <w:b w:val="0"/>
          <w:smallCaps w:val="0"/>
          <w:noProof w:val="0"/>
          <w:sz w:val="22"/>
          <w:szCs w:val="22"/>
          <w:lang w:val="en-US"/>
        </w:rPr>
        <w:t xml:space="preserve"> </w:t>
      </w:r>
      <w:r w:rsidRPr="00E354B6">
        <w:rPr>
          <w:rFonts w:ascii="Arial" w:hAnsi="Arial" w:cs="Arial"/>
          <w:b w:val="0"/>
          <w:smallCaps w:val="0"/>
          <w:noProof w:val="0"/>
          <w:sz w:val="22"/>
          <w:szCs w:val="22"/>
          <w:lang w:val="en-US"/>
        </w:rPr>
        <w:t>course, include the following:-</w:t>
      </w:r>
    </w:p>
    <w:p w:rsidR="0033206D" w:rsidRPr="00E354B6" w:rsidRDefault="0033206D" w:rsidP="0033206D">
      <w:pPr>
        <w:pStyle w:val="DocumentHeading"/>
        <w:ind w:left="360"/>
        <w:jc w:val="left"/>
        <w:rPr>
          <w:rFonts w:ascii="Arial" w:hAnsi="Arial" w:cs="Arial"/>
          <w:b w:val="0"/>
          <w:smallCaps w:val="0"/>
          <w:noProof w:val="0"/>
          <w:sz w:val="22"/>
          <w:szCs w:val="22"/>
          <w:lang w:val="en-US"/>
        </w:rPr>
      </w:pPr>
    </w:p>
    <w:p w:rsidR="0033206D" w:rsidRPr="00E354B6" w:rsidRDefault="0033206D" w:rsidP="0033206D">
      <w:pPr>
        <w:pStyle w:val="DocumentHeading"/>
        <w:numPr>
          <w:ilvl w:val="0"/>
          <w:numId w:val="15"/>
        </w:numPr>
        <w:tabs>
          <w:tab w:val="clear" w:pos="720"/>
          <w:tab w:val="num" w:pos="1080"/>
        </w:tabs>
        <w:ind w:left="108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to assist students in their development  as  independent and critical thinkers;</w:t>
      </w:r>
    </w:p>
    <w:p w:rsidR="0033206D" w:rsidRPr="00E354B6" w:rsidRDefault="0033206D" w:rsidP="0033206D">
      <w:pPr>
        <w:pStyle w:val="DocumentHeading"/>
        <w:numPr>
          <w:ilvl w:val="0"/>
          <w:numId w:val="15"/>
        </w:numPr>
        <w:tabs>
          <w:tab w:val="clear" w:pos="720"/>
          <w:tab w:val="num" w:pos="1080"/>
        </w:tabs>
        <w:ind w:left="108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to offer opportunities in class for students and teachers to engage actively with primary and secondary materials;</w:t>
      </w:r>
    </w:p>
    <w:p w:rsidR="0033206D" w:rsidRPr="00E354B6" w:rsidRDefault="0033206D" w:rsidP="0033206D">
      <w:pPr>
        <w:pStyle w:val="DocumentHeading"/>
        <w:numPr>
          <w:ilvl w:val="0"/>
          <w:numId w:val="15"/>
        </w:numPr>
        <w:tabs>
          <w:tab w:val="clear" w:pos="720"/>
          <w:tab w:val="num" w:pos="1080"/>
        </w:tabs>
        <w:ind w:left="108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to assist students to gain more confidence with constitutional law materials; and</w:t>
      </w:r>
    </w:p>
    <w:p w:rsidR="0033206D" w:rsidRPr="00E354B6" w:rsidRDefault="0033206D" w:rsidP="0033206D">
      <w:pPr>
        <w:pStyle w:val="DocumentHeading"/>
        <w:numPr>
          <w:ilvl w:val="0"/>
          <w:numId w:val="15"/>
        </w:numPr>
        <w:tabs>
          <w:tab w:val="clear" w:pos="720"/>
          <w:tab w:val="num" w:pos="1080"/>
        </w:tabs>
        <w:ind w:left="1080"/>
        <w:jc w:val="left"/>
        <w:rPr>
          <w:rFonts w:ascii="Arial" w:hAnsi="Arial" w:cs="Arial"/>
          <w:b w:val="0"/>
          <w:smallCaps w:val="0"/>
          <w:noProof w:val="0"/>
          <w:sz w:val="22"/>
          <w:szCs w:val="22"/>
          <w:lang w:val="en-US"/>
        </w:rPr>
      </w:pPr>
      <w:proofErr w:type="gramStart"/>
      <w:r>
        <w:rPr>
          <w:rFonts w:ascii="Arial" w:hAnsi="Arial" w:cs="Arial"/>
          <w:b w:val="0"/>
          <w:smallCaps w:val="0"/>
          <w:noProof w:val="0"/>
          <w:sz w:val="22"/>
          <w:szCs w:val="22"/>
          <w:lang w:val="en-US"/>
        </w:rPr>
        <w:t>to</w:t>
      </w:r>
      <w:proofErr w:type="gramEnd"/>
      <w:r>
        <w:rPr>
          <w:rFonts w:ascii="Arial" w:hAnsi="Arial" w:cs="Arial"/>
          <w:b w:val="0"/>
          <w:smallCaps w:val="0"/>
          <w:noProof w:val="0"/>
          <w:sz w:val="22"/>
          <w:szCs w:val="22"/>
          <w:lang w:val="en-US"/>
        </w:rPr>
        <w:t xml:space="preserve"> share her</w:t>
      </w:r>
      <w:r w:rsidRPr="00E354B6">
        <w:rPr>
          <w:rFonts w:ascii="Arial" w:hAnsi="Arial" w:cs="Arial"/>
          <w:b w:val="0"/>
          <w:smallCaps w:val="0"/>
          <w:noProof w:val="0"/>
          <w:sz w:val="22"/>
          <w:szCs w:val="22"/>
          <w:lang w:val="en-US"/>
        </w:rPr>
        <w:t xml:space="preserve"> enthusiasm for and love of constitutional law with students.</w:t>
      </w:r>
    </w:p>
    <w:p w:rsidR="0033206D" w:rsidRPr="00E354B6" w:rsidRDefault="0033206D" w:rsidP="0033206D">
      <w:pPr>
        <w:pStyle w:val="DocumentHeading"/>
        <w:ind w:left="360"/>
        <w:jc w:val="left"/>
        <w:rPr>
          <w:rFonts w:ascii="Arial" w:hAnsi="Arial" w:cs="Arial"/>
          <w:b w:val="0"/>
          <w:smallCaps w:val="0"/>
          <w:noProof w:val="0"/>
          <w:sz w:val="22"/>
          <w:szCs w:val="22"/>
          <w:lang w:val="en-US"/>
        </w:rPr>
      </w:pPr>
    </w:p>
    <w:p w:rsidR="0033206D" w:rsidRPr="00E354B6" w:rsidRDefault="0033206D" w:rsidP="0033206D">
      <w:pPr>
        <w:pStyle w:val="DocumentHeading"/>
        <w:ind w:left="72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These teaching objectives work together with the following </w:t>
      </w:r>
      <w:r w:rsidRPr="00E354B6">
        <w:rPr>
          <w:rFonts w:ascii="Arial" w:hAnsi="Arial" w:cs="Arial"/>
          <w:i/>
          <w:smallCaps w:val="0"/>
          <w:noProof w:val="0"/>
          <w:sz w:val="22"/>
          <w:szCs w:val="22"/>
          <w:lang w:val="en-US"/>
        </w:rPr>
        <w:t>learning objectives</w:t>
      </w:r>
      <w:r>
        <w:rPr>
          <w:rFonts w:ascii="Arial" w:hAnsi="Arial" w:cs="Arial"/>
          <w:b w:val="0"/>
          <w:smallCaps w:val="0"/>
          <w:noProof w:val="0"/>
          <w:sz w:val="22"/>
          <w:szCs w:val="22"/>
          <w:lang w:val="en-US"/>
        </w:rPr>
        <w:t xml:space="preserve"> </w:t>
      </w:r>
      <w:proofErr w:type="gramStart"/>
      <w:r>
        <w:rPr>
          <w:rFonts w:ascii="Arial" w:hAnsi="Arial" w:cs="Arial"/>
          <w:b w:val="0"/>
          <w:smallCaps w:val="0"/>
          <w:noProof w:val="0"/>
          <w:sz w:val="22"/>
          <w:szCs w:val="22"/>
          <w:lang w:val="en-US"/>
        </w:rPr>
        <w:t xml:space="preserve">which </w:t>
      </w:r>
      <w:r w:rsidRPr="00E354B6">
        <w:rPr>
          <w:rFonts w:ascii="Arial" w:hAnsi="Arial" w:cs="Arial"/>
          <w:b w:val="0"/>
          <w:smallCaps w:val="0"/>
          <w:noProof w:val="0"/>
          <w:sz w:val="22"/>
          <w:szCs w:val="22"/>
          <w:lang w:val="en-US"/>
        </w:rPr>
        <w:t xml:space="preserve"> have</w:t>
      </w:r>
      <w:proofErr w:type="gramEnd"/>
      <w:r>
        <w:rPr>
          <w:rFonts w:ascii="Arial" w:hAnsi="Arial" w:cs="Arial"/>
          <w:b w:val="0"/>
          <w:smallCaps w:val="0"/>
          <w:noProof w:val="0"/>
          <w:sz w:val="22"/>
          <w:szCs w:val="22"/>
          <w:lang w:val="en-US"/>
        </w:rPr>
        <w:t xml:space="preserve"> been</w:t>
      </w:r>
      <w:r w:rsidRPr="00E354B6">
        <w:rPr>
          <w:rFonts w:ascii="Arial" w:hAnsi="Arial" w:cs="Arial"/>
          <w:b w:val="0"/>
          <w:smallCaps w:val="0"/>
          <w:noProof w:val="0"/>
          <w:sz w:val="22"/>
          <w:szCs w:val="22"/>
          <w:lang w:val="en-US"/>
        </w:rPr>
        <w:t xml:space="preserve"> developed for students.</w:t>
      </w:r>
    </w:p>
    <w:p w:rsidR="0033206D" w:rsidRPr="00E354B6" w:rsidRDefault="0033206D" w:rsidP="0033206D">
      <w:pPr>
        <w:pStyle w:val="DocumentHeading"/>
        <w:ind w:left="360"/>
        <w:jc w:val="left"/>
        <w:rPr>
          <w:rFonts w:ascii="Arial" w:hAnsi="Arial" w:cs="Arial"/>
          <w:b w:val="0"/>
          <w:smallCaps w:val="0"/>
          <w:noProof w:val="0"/>
          <w:sz w:val="22"/>
          <w:szCs w:val="22"/>
          <w:lang w:val="en-US"/>
        </w:rPr>
      </w:pPr>
    </w:p>
    <w:p w:rsidR="0033206D" w:rsidRPr="00E354B6" w:rsidRDefault="0033206D" w:rsidP="0033206D">
      <w:pPr>
        <w:pStyle w:val="DocumentHeading"/>
        <w:ind w:left="72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By the end of, and during, this course, students will be asked to demonstrate the following skills:</w:t>
      </w:r>
    </w:p>
    <w:p w:rsidR="0033206D" w:rsidRPr="00E354B6" w:rsidRDefault="0033206D" w:rsidP="0033206D">
      <w:pPr>
        <w:pStyle w:val="DocumentHeading"/>
        <w:jc w:val="left"/>
        <w:rPr>
          <w:rFonts w:ascii="Arial" w:hAnsi="Arial" w:cs="Arial"/>
          <w:b w:val="0"/>
          <w:smallCaps w:val="0"/>
          <w:noProof w:val="0"/>
          <w:sz w:val="22"/>
          <w:szCs w:val="22"/>
          <w:lang w:val="en-US"/>
        </w:rPr>
      </w:pPr>
    </w:p>
    <w:p w:rsidR="0033206D" w:rsidRPr="00E354B6" w:rsidRDefault="0033206D" w:rsidP="0033206D">
      <w:pPr>
        <w:pStyle w:val="DocumentHeading"/>
        <w:numPr>
          <w:ilvl w:val="0"/>
          <w:numId w:val="14"/>
        </w:numPr>
        <w:tabs>
          <w:tab w:val="clear" w:pos="720"/>
          <w:tab w:val="num" w:pos="1080"/>
        </w:tabs>
        <w:ind w:left="108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a thorough and contextual knowledge of constitutional law doctrine;</w:t>
      </w:r>
    </w:p>
    <w:p w:rsidR="0033206D" w:rsidRPr="00E354B6" w:rsidRDefault="0033206D" w:rsidP="0033206D">
      <w:pPr>
        <w:pStyle w:val="DocumentHeading"/>
        <w:numPr>
          <w:ilvl w:val="0"/>
          <w:numId w:val="14"/>
        </w:numPr>
        <w:tabs>
          <w:tab w:val="clear" w:pos="720"/>
          <w:tab w:val="num" w:pos="1080"/>
        </w:tabs>
        <w:ind w:left="108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the capacity to </w:t>
      </w:r>
      <w:proofErr w:type="spellStart"/>
      <w:r w:rsidRPr="00E354B6">
        <w:rPr>
          <w:rFonts w:ascii="Arial" w:hAnsi="Arial" w:cs="Arial"/>
          <w:b w:val="0"/>
          <w:smallCaps w:val="0"/>
          <w:noProof w:val="0"/>
          <w:sz w:val="22"/>
          <w:szCs w:val="22"/>
          <w:lang w:val="en-US"/>
        </w:rPr>
        <w:t>analyse</w:t>
      </w:r>
      <w:proofErr w:type="spellEnd"/>
      <w:r w:rsidRPr="00E354B6">
        <w:rPr>
          <w:rFonts w:ascii="Arial" w:hAnsi="Arial" w:cs="Arial"/>
          <w:b w:val="0"/>
          <w:smallCaps w:val="0"/>
          <w:noProof w:val="0"/>
          <w:sz w:val="22"/>
          <w:szCs w:val="22"/>
          <w:lang w:val="en-US"/>
        </w:rPr>
        <w:t xml:space="preserve"> and </w:t>
      </w:r>
      <w:proofErr w:type="spellStart"/>
      <w:r w:rsidRPr="00E354B6">
        <w:rPr>
          <w:rFonts w:ascii="Arial" w:hAnsi="Arial" w:cs="Arial"/>
          <w:b w:val="0"/>
          <w:smallCaps w:val="0"/>
          <w:noProof w:val="0"/>
          <w:sz w:val="22"/>
          <w:szCs w:val="22"/>
          <w:lang w:val="en-US"/>
        </w:rPr>
        <w:t>synthesise</w:t>
      </w:r>
      <w:proofErr w:type="spellEnd"/>
      <w:r w:rsidRPr="00E354B6">
        <w:rPr>
          <w:rFonts w:ascii="Arial" w:hAnsi="Arial" w:cs="Arial"/>
          <w:b w:val="0"/>
          <w:smallCaps w:val="0"/>
          <w:noProof w:val="0"/>
          <w:sz w:val="22"/>
          <w:szCs w:val="22"/>
          <w:lang w:val="en-US"/>
        </w:rPr>
        <w:t xml:space="preserve"> primary and secondary constitutional data;</w:t>
      </w:r>
    </w:p>
    <w:p w:rsidR="0033206D" w:rsidRPr="00E354B6" w:rsidRDefault="0033206D" w:rsidP="0033206D">
      <w:pPr>
        <w:pStyle w:val="DocumentHeading"/>
        <w:numPr>
          <w:ilvl w:val="0"/>
          <w:numId w:val="14"/>
        </w:numPr>
        <w:tabs>
          <w:tab w:val="clear" w:pos="720"/>
          <w:tab w:val="num" w:pos="1080"/>
        </w:tabs>
        <w:ind w:left="1080"/>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lastRenderedPageBreak/>
        <w:t>the capacity to prepare and present cogent arguments, both orally and in writing; and</w:t>
      </w:r>
    </w:p>
    <w:p w:rsidR="0033206D" w:rsidRPr="00E354B6" w:rsidRDefault="0033206D" w:rsidP="0033206D">
      <w:pPr>
        <w:pStyle w:val="DocumentHeading"/>
        <w:numPr>
          <w:ilvl w:val="0"/>
          <w:numId w:val="14"/>
        </w:numPr>
        <w:tabs>
          <w:tab w:val="clear" w:pos="720"/>
          <w:tab w:val="num" w:pos="1080"/>
        </w:tabs>
        <w:ind w:left="1080"/>
        <w:jc w:val="left"/>
        <w:rPr>
          <w:rFonts w:ascii="Arial" w:hAnsi="Arial" w:cs="Arial"/>
          <w:b w:val="0"/>
          <w:sz w:val="22"/>
          <w:szCs w:val="22"/>
        </w:rPr>
      </w:pPr>
      <w:r w:rsidRPr="00E354B6">
        <w:rPr>
          <w:rFonts w:ascii="Arial" w:hAnsi="Arial" w:cs="Arial"/>
          <w:b w:val="0"/>
          <w:smallCaps w:val="0"/>
          <w:sz w:val="22"/>
          <w:szCs w:val="22"/>
          <w:lang w:val="en-US"/>
        </w:rPr>
        <w:t>the capacity to identify legal issues, adduce relevant legal principles and rules and apply these to hypothetical problems based on constitutional law</w:t>
      </w:r>
      <w:r w:rsidRPr="00E354B6">
        <w:rPr>
          <w:rFonts w:ascii="Arial" w:hAnsi="Arial" w:cs="Arial"/>
          <w:b w:val="0"/>
          <w:sz w:val="22"/>
          <w:szCs w:val="22"/>
        </w:rPr>
        <w:t>.</w:t>
      </w:r>
    </w:p>
    <w:p w:rsidR="0033206D" w:rsidRDefault="0033206D" w:rsidP="0033206D">
      <w:pPr>
        <w:spacing w:before="120"/>
        <w:ind w:left="720"/>
        <w:jc w:val="both"/>
        <w:rPr>
          <w:rFonts w:ascii="Arial" w:hAnsi="Arial" w:cs="Arial"/>
        </w:rPr>
      </w:pPr>
    </w:p>
    <w:p w:rsidR="00874E80" w:rsidRPr="00E354B6" w:rsidRDefault="00874E80" w:rsidP="00874E80">
      <w:pPr>
        <w:pStyle w:val="DocumentHeading"/>
        <w:jc w:val="both"/>
        <w:rPr>
          <w:rFonts w:ascii="Arial" w:hAnsi="Arial" w:cs="Arial"/>
          <w:smallCaps w:val="0"/>
          <w:noProof w:val="0"/>
          <w:sz w:val="22"/>
          <w:szCs w:val="22"/>
          <w:lang w:val="en-US"/>
        </w:rPr>
      </w:pPr>
      <w:r w:rsidRPr="00E354B6">
        <w:rPr>
          <w:rFonts w:ascii="Arial" w:hAnsi="Arial" w:cs="Arial"/>
          <w:smallCaps w:val="0"/>
          <w:noProof w:val="0"/>
          <w:sz w:val="22"/>
          <w:szCs w:val="22"/>
          <w:lang w:val="en-US"/>
        </w:rPr>
        <w:t>Assessment during semester</w:t>
      </w:r>
    </w:p>
    <w:p w:rsidR="00874E80" w:rsidRPr="00E354B6" w:rsidRDefault="00874E80" w:rsidP="00874E80">
      <w:pPr>
        <w:pStyle w:val="DocumentHeading"/>
        <w:jc w:val="both"/>
        <w:rPr>
          <w:rFonts w:ascii="Arial" w:hAnsi="Arial" w:cs="Arial"/>
          <w:smallCaps w:val="0"/>
          <w:noProof w:val="0"/>
          <w:sz w:val="22"/>
          <w:szCs w:val="22"/>
          <w:lang w:val="en-US"/>
        </w:rPr>
      </w:pPr>
    </w:p>
    <w:p w:rsidR="00874E80" w:rsidRPr="00E354B6" w:rsidRDefault="00874E80" w:rsidP="00874E80">
      <w:pPr>
        <w:pStyle w:val="DocumentHeading"/>
        <w:numPr>
          <w:ilvl w:val="0"/>
          <w:numId w:val="17"/>
        </w:numPr>
        <w:tabs>
          <w:tab w:val="clear" w:pos="1080"/>
          <w:tab w:val="left" w:pos="1418"/>
          <w:tab w:val="num" w:pos="1778"/>
        </w:tabs>
        <w:ind w:left="1778"/>
        <w:jc w:val="both"/>
        <w:rPr>
          <w:rFonts w:ascii="Arial" w:hAnsi="Arial" w:cs="Arial"/>
          <w:i/>
          <w:smallCaps w:val="0"/>
          <w:noProof w:val="0"/>
          <w:sz w:val="22"/>
          <w:szCs w:val="22"/>
          <w:lang w:val="en-US"/>
        </w:rPr>
      </w:pPr>
      <w:r w:rsidRPr="00E354B6">
        <w:rPr>
          <w:rFonts w:ascii="Arial" w:hAnsi="Arial" w:cs="Arial"/>
          <w:i/>
          <w:smallCaps w:val="0"/>
          <w:noProof w:val="0"/>
          <w:sz w:val="22"/>
          <w:szCs w:val="22"/>
          <w:lang w:val="en-US"/>
        </w:rPr>
        <w:t>In class oral assessment and written assessment (40 marks)</w:t>
      </w:r>
    </w:p>
    <w:p w:rsidR="00874E80" w:rsidRPr="00E354B6" w:rsidRDefault="00874E80" w:rsidP="00874E80">
      <w:pPr>
        <w:pStyle w:val="DocumentHeading"/>
        <w:tabs>
          <w:tab w:val="left" w:pos="1418"/>
        </w:tabs>
        <w:ind w:left="1418"/>
        <w:jc w:val="both"/>
        <w:rPr>
          <w:rFonts w:ascii="Arial" w:hAnsi="Arial" w:cs="Arial"/>
          <w:i/>
          <w:smallCaps w:val="0"/>
          <w:noProof w:val="0"/>
          <w:sz w:val="22"/>
          <w:szCs w:val="22"/>
          <w:lang w:val="en-US"/>
        </w:rPr>
      </w:pPr>
    </w:p>
    <w:p w:rsidR="00874E80" w:rsidRPr="00E354B6" w:rsidRDefault="00874E80" w:rsidP="00F94131">
      <w:pPr>
        <w:pStyle w:val="DocumentHeading"/>
        <w:tabs>
          <w:tab w:val="left" w:pos="1418"/>
        </w:tabs>
        <w:jc w:val="both"/>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Students must </w:t>
      </w:r>
      <w:r w:rsidRPr="00E354B6">
        <w:rPr>
          <w:rFonts w:ascii="Arial" w:hAnsi="Arial" w:cs="Arial"/>
          <w:smallCaps w:val="0"/>
          <w:noProof w:val="0"/>
          <w:sz w:val="22"/>
          <w:szCs w:val="22"/>
          <w:lang w:val="en-US"/>
        </w:rPr>
        <w:t>choose one of the four</w:t>
      </w:r>
      <w:r w:rsidRPr="00E354B6">
        <w:rPr>
          <w:rFonts w:ascii="Arial" w:hAnsi="Arial" w:cs="Arial"/>
          <w:b w:val="0"/>
          <w:smallCaps w:val="0"/>
          <w:noProof w:val="0"/>
          <w:sz w:val="22"/>
          <w:szCs w:val="22"/>
          <w:lang w:val="en-US"/>
        </w:rPr>
        <w:t xml:space="preserve"> forms of continuous assessment set out below.  Each comprises both an oral and written component.  The marking criteria for each choice are posted on the LAWS4001 Blackboard site.  The oral presentation will be made in class and the related written work will be due within 14 days of the oral presentation.  </w:t>
      </w:r>
    </w:p>
    <w:p w:rsidR="00874E80" w:rsidRPr="00E354B6" w:rsidRDefault="00874E80" w:rsidP="00874E80">
      <w:pPr>
        <w:pStyle w:val="DocumentHeading"/>
        <w:tabs>
          <w:tab w:val="left" w:pos="1418"/>
        </w:tabs>
        <w:ind w:left="1418"/>
        <w:jc w:val="both"/>
        <w:rPr>
          <w:rFonts w:ascii="Arial" w:hAnsi="Arial" w:cs="Arial"/>
          <w:b w:val="0"/>
          <w:smallCaps w:val="0"/>
          <w:noProof w:val="0"/>
          <w:sz w:val="22"/>
          <w:szCs w:val="22"/>
          <w:lang w:val="en-US"/>
        </w:rPr>
      </w:pPr>
    </w:p>
    <w:p w:rsidR="00874E80" w:rsidRPr="00E354B6" w:rsidRDefault="00874E80" w:rsidP="00F94131">
      <w:pPr>
        <w:pStyle w:val="DocumentHeading"/>
        <w:tabs>
          <w:tab w:val="left" w:pos="1418"/>
        </w:tabs>
        <w:jc w:val="both"/>
        <w:rPr>
          <w:rFonts w:ascii="Arial" w:hAnsi="Arial" w:cs="Arial"/>
          <w:b w:val="0"/>
          <w:smallCaps w:val="0"/>
          <w:noProof w:val="0"/>
          <w:sz w:val="22"/>
          <w:szCs w:val="22"/>
          <w:lang w:val="en-US"/>
        </w:rPr>
      </w:pPr>
      <w:r w:rsidRPr="00E354B6">
        <w:rPr>
          <w:rFonts w:ascii="Arial" w:hAnsi="Arial" w:cs="Arial"/>
          <w:smallCaps w:val="0"/>
          <w:noProof w:val="0"/>
          <w:sz w:val="22"/>
          <w:szCs w:val="22"/>
          <w:lang w:val="en-US"/>
        </w:rPr>
        <w:t>Numbers for each form of in-class assessment are restricted</w:t>
      </w:r>
      <w:r w:rsidRPr="00E354B6">
        <w:rPr>
          <w:rFonts w:ascii="Arial" w:hAnsi="Arial" w:cs="Arial"/>
          <w:b w:val="0"/>
          <w:smallCaps w:val="0"/>
          <w:noProof w:val="0"/>
          <w:sz w:val="22"/>
          <w:szCs w:val="22"/>
          <w:lang w:val="en-US"/>
        </w:rPr>
        <w:t>. Students will be asked to confirm their choice by the end of the second class in week 1</w:t>
      </w:r>
      <w:r>
        <w:rPr>
          <w:rFonts w:ascii="Arial" w:hAnsi="Arial" w:cs="Arial"/>
          <w:b w:val="0"/>
          <w:smallCaps w:val="0"/>
          <w:noProof w:val="0"/>
          <w:sz w:val="22"/>
          <w:szCs w:val="22"/>
          <w:lang w:val="en-US"/>
        </w:rPr>
        <w:t>.</w:t>
      </w:r>
      <w:r w:rsidRPr="00E354B6">
        <w:rPr>
          <w:rFonts w:ascii="Arial" w:hAnsi="Arial" w:cs="Arial"/>
          <w:b w:val="0"/>
          <w:smallCaps w:val="0"/>
          <w:noProof w:val="0"/>
          <w:sz w:val="22"/>
          <w:szCs w:val="22"/>
          <w:lang w:val="en-US"/>
        </w:rPr>
        <w:t>Please consult the schedule of classes where each item of assessment and its presentation date is listed.</w:t>
      </w:r>
    </w:p>
    <w:p w:rsidR="00874E80" w:rsidRPr="00E354B6" w:rsidRDefault="00874E80" w:rsidP="00874E80">
      <w:pPr>
        <w:pStyle w:val="DocumentHeading"/>
        <w:tabs>
          <w:tab w:val="left" w:pos="1418"/>
        </w:tabs>
        <w:ind w:left="1418"/>
        <w:jc w:val="both"/>
        <w:rPr>
          <w:rFonts w:ascii="Arial" w:hAnsi="Arial" w:cs="Arial"/>
          <w:b w:val="0"/>
          <w:smallCaps w:val="0"/>
          <w:noProof w:val="0"/>
          <w:sz w:val="22"/>
          <w:szCs w:val="22"/>
          <w:lang w:val="en-US"/>
        </w:rPr>
      </w:pPr>
    </w:p>
    <w:p w:rsidR="00874E80" w:rsidRPr="00E354B6" w:rsidRDefault="00874E80" w:rsidP="00F94131">
      <w:pPr>
        <w:pStyle w:val="DocumentHeading"/>
        <w:tabs>
          <w:tab w:val="left" w:pos="1418"/>
        </w:tabs>
        <w:jc w:val="both"/>
        <w:rPr>
          <w:rFonts w:ascii="Arial" w:hAnsi="Arial" w:cs="Arial"/>
          <w:smallCaps w:val="0"/>
          <w:noProof w:val="0"/>
          <w:sz w:val="22"/>
          <w:szCs w:val="22"/>
          <w:lang w:val="en-US"/>
        </w:rPr>
      </w:pPr>
      <w:r w:rsidRPr="00E354B6">
        <w:rPr>
          <w:rFonts w:ascii="Arial" w:hAnsi="Arial" w:cs="Arial"/>
          <w:smallCaps w:val="0"/>
          <w:noProof w:val="0"/>
          <w:sz w:val="22"/>
          <w:szCs w:val="22"/>
          <w:lang w:val="en-US"/>
        </w:rPr>
        <w:t xml:space="preserve">Choice 1 </w:t>
      </w:r>
    </w:p>
    <w:p w:rsidR="00874E80" w:rsidRPr="00E354B6" w:rsidRDefault="00874E80" w:rsidP="00F94131">
      <w:pPr>
        <w:pStyle w:val="DocumentHeading"/>
        <w:numPr>
          <w:ilvl w:val="0"/>
          <w:numId w:val="16"/>
        </w:numPr>
        <w:tabs>
          <w:tab w:val="clear" w:pos="1080"/>
          <w:tab w:val="left" w:pos="709"/>
          <w:tab w:val="num" w:pos="1691"/>
        </w:tabs>
        <w:ind w:left="1832" w:hanging="425"/>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Participation in </w:t>
      </w:r>
      <w:r w:rsidRPr="00E354B6">
        <w:rPr>
          <w:rFonts w:ascii="Arial" w:hAnsi="Arial" w:cs="Arial"/>
          <w:smallCaps w:val="0"/>
          <w:noProof w:val="0"/>
          <w:sz w:val="22"/>
          <w:szCs w:val="22"/>
          <w:lang w:val="en-US"/>
        </w:rPr>
        <w:t>moot</w:t>
      </w:r>
      <w:r w:rsidRPr="00E354B6">
        <w:rPr>
          <w:rFonts w:ascii="Arial" w:hAnsi="Arial" w:cs="Arial"/>
          <w:b w:val="0"/>
          <w:smallCaps w:val="0"/>
          <w:noProof w:val="0"/>
          <w:sz w:val="22"/>
          <w:szCs w:val="22"/>
          <w:lang w:val="en-US"/>
        </w:rPr>
        <w:t xml:space="preserve"> as counsel 6-8 minutes (20 marks); and</w:t>
      </w:r>
    </w:p>
    <w:p w:rsidR="00874E80" w:rsidRPr="00F94131" w:rsidRDefault="00874E80" w:rsidP="00F94131">
      <w:pPr>
        <w:pStyle w:val="DocumentHeading"/>
        <w:numPr>
          <w:ilvl w:val="0"/>
          <w:numId w:val="16"/>
        </w:numPr>
        <w:tabs>
          <w:tab w:val="clear" w:pos="1080"/>
          <w:tab w:val="left" w:pos="709"/>
          <w:tab w:val="num" w:pos="1691"/>
        </w:tabs>
        <w:ind w:left="1691" w:hanging="284"/>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Written moot submissions for plaintiff/appellant or </w:t>
      </w:r>
      <w:proofErr w:type="gramStart"/>
      <w:r w:rsidRPr="00E354B6">
        <w:rPr>
          <w:rFonts w:ascii="Arial" w:hAnsi="Arial" w:cs="Arial"/>
          <w:b w:val="0"/>
          <w:smallCaps w:val="0"/>
          <w:noProof w:val="0"/>
          <w:sz w:val="22"/>
          <w:szCs w:val="22"/>
          <w:lang w:val="en-US"/>
        </w:rPr>
        <w:t>respondent  -</w:t>
      </w:r>
      <w:proofErr w:type="gramEnd"/>
      <w:r w:rsidRPr="00E354B6">
        <w:rPr>
          <w:rFonts w:ascii="Arial" w:hAnsi="Arial" w:cs="Arial"/>
          <w:b w:val="0"/>
          <w:smallCaps w:val="0"/>
          <w:noProof w:val="0"/>
          <w:sz w:val="22"/>
          <w:szCs w:val="22"/>
          <w:lang w:val="en-US"/>
        </w:rPr>
        <w:t xml:space="preserve"> 2000 words (20 marks).</w:t>
      </w:r>
    </w:p>
    <w:p w:rsidR="00874E80" w:rsidRPr="002A17A3" w:rsidRDefault="002A17A3" w:rsidP="00F94131">
      <w:pPr>
        <w:pStyle w:val="DocumentHeading"/>
        <w:tabs>
          <w:tab w:val="left" w:pos="1418"/>
        </w:tabs>
        <w:jc w:val="both"/>
        <w:rPr>
          <w:rFonts w:ascii="Arial" w:hAnsi="Arial" w:cs="Arial"/>
          <w:smallCaps w:val="0"/>
          <w:noProof w:val="0"/>
          <w:sz w:val="22"/>
          <w:szCs w:val="22"/>
          <w:u w:val="single"/>
          <w:lang w:val="en-US"/>
        </w:rPr>
      </w:pPr>
      <w:r>
        <w:rPr>
          <w:rFonts w:ascii="Arial" w:hAnsi="Arial" w:cs="Arial"/>
          <w:smallCaps w:val="0"/>
          <w:noProof w:val="0"/>
          <w:sz w:val="22"/>
          <w:szCs w:val="22"/>
          <w:u w:val="single"/>
          <w:lang w:val="en-US"/>
        </w:rPr>
        <w:t>OR</w:t>
      </w:r>
    </w:p>
    <w:p w:rsidR="00874E80" w:rsidRPr="00E354B6" w:rsidRDefault="00874E80" w:rsidP="00F94131">
      <w:pPr>
        <w:pStyle w:val="DocumentHeading"/>
        <w:tabs>
          <w:tab w:val="left" w:pos="1418"/>
        </w:tabs>
        <w:ind w:left="1407"/>
        <w:jc w:val="both"/>
        <w:rPr>
          <w:rFonts w:ascii="Arial" w:hAnsi="Arial" w:cs="Arial"/>
          <w:smallCaps w:val="0"/>
          <w:noProof w:val="0"/>
          <w:sz w:val="22"/>
          <w:szCs w:val="22"/>
          <w:lang w:val="en-US"/>
        </w:rPr>
      </w:pPr>
      <w:r w:rsidRPr="00E354B6">
        <w:rPr>
          <w:rFonts w:ascii="Arial" w:hAnsi="Arial" w:cs="Arial"/>
          <w:smallCaps w:val="0"/>
          <w:noProof w:val="0"/>
          <w:sz w:val="22"/>
          <w:szCs w:val="22"/>
          <w:lang w:val="en-US"/>
        </w:rPr>
        <w:t xml:space="preserve">Choice 2 </w:t>
      </w:r>
    </w:p>
    <w:p w:rsidR="00874E80" w:rsidRPr="00E354B6" w:rsidRDefault="00874E80" w:rsidP="00F94131">
      <w:pPr>
        <w:pStyle w:val="DocumentHeading"/>
        <w:numPr>
          <w:ilvl w:val="0"/>
          <w:numId w:val="16"/>
        </w:numPr>
        <w:tabs>
          <w:tab w:val="clear" w:pos="1080"/>
          <w:tab w:val="left" w:pos="630"/>
          <w:tab w:val="num" w:pos="1767"/>
        </w:tabs>
        <w:ind w:left="1770" w:hanging="363"/>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Participation in class </w:t>
      </w:r>
      <w:r w:rsidRPr="00E354B6">
        <w:rPr>
          <w:rFonts w:ascii="Arial" w:hAnsi="Arial" w:cs="Arial"/>
          <w:smallCaps w:val="0"/>
          <w:noProof w:val="0"/>
          <w:sz w:val="22"/>
          <w:szCs w:val="22"/>
          <w:lang w:val="en-US"/>
        </w:rPr>
        <w:t xml:space="preserve">debate </w:t>
      </w:r>
      <w:r w:rsidRPr="00E354B6">
        <w:rPr>
          <w:rFonts w:ascii="Arial" w:hAnsi="Arial" w:cs="Arial"/>
          <w:b w:val="0"/>
          <w:smallCaps w:val="0"/>
          <w:noProof w:val="0"/>
          <w:sz w:val="22"/>
          <w:szCs w:val="22"/>
          <w:lang w:val="en-US"/>
        </w:rPr>
        <w:t>6-8 minutes (20 marks); and</w:t>
      </w:r>
    </w:p>
    <w:p w:rsidR="00874E80" w:rsidRPr="00E354B6" w:rsidRDefault="00874E80" w:rsidP="00F94131">
      <w:pPr>
        <w:pStyle w:val="DocumentHeading"/>
        <w:numPr>
          <w:ilvl w:val="0"/>
          <w:numId w:val="16"/>
        </w:numPr>
        <w:tabs>
          <w:tab w:val="clear" w:pos="1080"/>
          <w:tab w:val="left" w:pos="630"/>
          <w:tab w:val="num" w:pos="1767"/>
        </w:tabs>
        <w:ind w:left="1770" w:hanging="363"/>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Submission of written arguments for debate and written rebuttal responses as            appropriate – 2000 words (20 marks).</w:t>
      </w:r>
    </w:p>
    <w:p w:rsidR="00874E80" w:rsidRPr="00E354B6" w:rsidRDefault="00874E80" w:rsidP="00F94131">
      <w:pPr>
        <w:pStyle w:val="DocumentHeading"/>
        <w:tabs>
          <w:tab w:val="left" w:pos="1418"/>
        </w:tabs>
        <w:ind w:left="687"/>
        <w:jc w:val="both"/>
        <w:rPr>
          <w:rFonts w:ascii="Arial" w:hAnsi="Arial" w:cs="Arial"/>
          <w:b w:val="0"/>
          <w:smallCaps w:val="0"/>
          <w:noProof w:val="0"/>
          <w:sz w:val="22"/>
          <w:szCs w:val="22"/>
          <w:lang w:val="en-US"/>
        </w:rPr>
      </w:pPr>
    </w:p>
    <w:p w:rsidR="00874E80" w:rsidRPr="00E354B6" w:rsidRDefault="00874E80" w:rsidP="002A17A3">
      <w:pPr>
        <w:pStyle w:val="DocumentHeading"/>
        <w:tabs>
          <w:tab w:val="left" w:pos="1418"/>
        </w:tabs>
        <w:jc w:val="both"/>
        <w:rPr>
          <w:rFonts w:ascii="Arial" w:hAnsi="Arial" w:cs="Arial"/>
          <w:smallCaps w:val="0"/>
          <w:noProof w:val="0"/>
          <w:sz w:val="22"/>
          <w:szCs w:val="22"/>
          <w:u w:val="single"/>
          <w:lang w:val="en-US"/>
        </w:rPr>
      </w:pPr>
      <w:r w:rsidRPr="00E354B6">
        <w:rPr>
          <w:rFonts w:ascii="Arial" w:hAnsi="Arial" w:cs="Arial"/>
          <w:smallCaps w:val="0"/>
          <w:noProof w:val="0"/>
          <w:sz w:val="22"/>
          <w:szCs w:val="22"/>
          <w:u w:val="single"/>
          <w:lang w:val="en-US"/>
        </w:rPr>
        <w:t>OR</w:t>
      </w:r>
    </w:p>
    <w:p w:rsidR="00874E80" w:rsidRPr="00E354B6" w:rsidRDefault="00874E80" w:rsidP="00F94131">
      <w:pPr>
        <w:pStyle w:val="DocumentHeading"/>
        <w:tabs>
          <w:tab w:val="left" w:pos="1418"/>
        </w:tabs>
        <w:ind w:left="687"/>
        <w:jc w:val="both"/>
        <w:rPr>
          <w:rFonts w:ascii="Arial" w:hAnsi="Arial" w:cs="Arial"/>
          <w:smallCaps w:val="0"/>
          <w:noProof w:val="0"/>
          <w:sz w:val="22"/>
          <w:szCs w:val="22"/>
          <w:lang w:val="en-US"/>
        </w:rPr>
      </w:pPr>
      <w:r w:rsidRPr="00E354B6">
        <w:rPr>
          <w:rFonts w:ascii="Arial" w:hAnsi="Arial" w:cs="Arial"/>
          <w:b w:val="0"/>
          <w:smallCaps w:val="0"/>
          <w:noProof w:val="0"/>
          <w:sz w:val="22"/>
          <w:szCs w:val="22"/>
          <w:lang w:val="en-US"/>
        </w:rPr>
        <w:t xml:space="preserve">            </w:t>
      </w:r>
      <w:r w:rsidRPr="00E354B6">
        <w:rPr>
          <w:rFonts w:ascii="Arial" w:hAnsi="Arial" w:cs="Arial"/>
          <w:smallCaps w:val="0"/>
          <w:noProof w:val="0"/>
          <w:sz w:val="22"/>
          <w:szCs w:val="22"/>
          <w:lang w:val="en-US"/>
        </w:rPr>
        <w:t>Choice 3</w:t>
      </w:r>
    </w:p>
    <w:p w:rsidR="00874E80" w:rsidRPr="00E354B6" w:rsidRDefault="00874E80" w:rsidP="00F94131">
      <w:pPr>
        <w:pStyle w:val="DocumentHeading"/>
        <w:numPr>
          <w:ilvl w:val="0"/>
          <w:numId w:val="16"/>
        </w:numPr>
        <w:tabs>
          <w:tab w:val="clear" w:pos="1080"/>
          <w:tab w:val="left" w:pos="630"/>
          <w:tab w:val="num" w:pos="1767"/>
        </w:tabs>
        <w:ind w:left="1770" w:hanging="363"/>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Presentation in class of proposed solution and reasoning for hypothetical </w:t>
      </w:r>
      <w:r w:rsidRPr="00E354B6">
        <w:rPr>
          <w:rFonts w:ascii="Arial" w:hAnsi="Arial" w:cs="Arial"/>
          <w:smallCaps w:val="0"/>
          <w:noProof w:val="0"/>
          <w:sz w:val="22"/>
          <w:szCs w:val="22"/>
          <w:lang w:val="en-US"/>
        </w:rPr>
        <w:t>problem</w:t>
      </w:r>
      <w:r w:rsidRPr="00E354B6">
        <w:rPr>
          <w:rFonts w:ascii="Arial" w:hAnsi="Arial" w:cs="Arial"/>
          <w:b w:val="0"/>
          <w:smallCaps w:val="0"/>
          <w:noProof w:val="0"/>
          <w:sz w:val="22"/>
          <w:szCs w:val="22"/>
          <w:lang w:val="en-US"/>
        </w:rPr>
        <w:t xml:space="preserve"> or oral critique of 6-8 minutes (20 marks); and</w:t>
      </w:r>
    </w:p>
    <w:p w:rsidR="00874E80" w:rsidRPr="00E354B6" w:rsidRDefault="00874E80" w:rsidP="00F94131">
      <w:pPr>
        <w:pStyle w:val="DocumentHeading"/>
        <w:numPr>
          <w:ilvl w:val="0"/>
          <w:numId w:val="16"/>
        </w:numPr>
        <w:tabs>
          <w:tab w:val="clear" w:pos="1080"/>
          <w:tab w:val="left" w:pos="630"/>
          <w:tab w:val="num" w:pos="1767"/>
        </w:tabs>
        <w:ind w:left="1770" w:hanging="363"/>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Written answer to hypothetical </w:t>
      </w:r>
      <w:proofErr w:type="gramStart"/>
      <w:r w:rsidRPr="00E354B6">
        <w:rPr>
          <w:rFonts w:ascii="Arial" w:hAnsi="Arial" w:cs="Arial"/>
          <w:b w:val="0"/>
          <w:smallCaps w:val="0"/>
          <w:noProof w:val="0"/>
          <w:sz w:val="22"/>
          <w:szCs w:val="22"/>
          <w:lang w:val="en-US"/>
        </w:rPr>
        <w:t>problem  -</w:t>
      </w:r>
      <w:proofErr w:type="gramEnd"/>
      <w:r w:rsidRPr="00E354B6">
        <w:rPr>
          <w:rFonts w:ascii="Arial" w:hAnsi="Arial" w:cs="Arial"/>
          <w:b w:val="0"/>
          <w:smallCaps w:val="0"/>
          <w:noProof w:val="0"/>
          <w:sz w:val="22"/>
          <w:szCs w:val="22"/>
          <w:lang w:val="en-US"/>
        </w:rPr>
        <w:t xml:space="preserve"> 2000 words (20 marks).</w:t>
      </w:r>
    </w:p>
    <w:p w:rsidR="00874E80" w:rsidRPr="00E354B6" w:rsidRDefault="00874E80" w:rsidP="00F94131">
      <w:pPr>
        <w:pStyle w:val="DocumentHeading"/>
        <w:tabs>
          <w:tab w:val="left" w:pos="630"/>
        </w:tabs>
        <w:ind w:left="687"/>
        <w:jc w:val="left"/>
        <w:rPr>
          <w:rFonts w:ascii="Arial" w:hAnsi="Arial" w:cs="Arial"/>
          <w:b w:val="0"/>
          <w:smallCaps w:val="0"/>
          <w:noProof w:val="0"/>
          <w:sz w:val="22"/>
          <w:szCs w:val="22"/>
          <w:lang w:val="en-US"/>
        </w:rPr>
      </w:pPr>
    </w:p>
    <w:p w:rsidR="00874E80" w:rsidRPr="00E354B6" w:rsidRDefault="002A17A3" w:rsidP="002A17A3">
      <w:pPr>
        <w:pStyle w:val="DocumentHeading"/>
        <w:tabs>
          <w:tab w:val="left" w:pos="630"/>
        </w:tabs>
        <w:ind w:left="720"/>
        <w:jc w:val="left"/>
        <w:rPr>
          <w:rFonts w:ascii="Arial" w:hAnsi="Arial" w:cs="Arial"/>
          <w:smallCaps w:val="0"/>
          <w:noProof w:val="0"/>
          <w:sz w:val="22"/>
          <w:szCs w:val="22"/>
          <w:lang w:val="en-US"/>
        </w:rPr>
      </w:pPr>
      <w:r>
        <w:rPr>
          <w:rFonts w:ascii="Arial" w:hAnsi="Arial" w:cs="Arial"/>
          <w:smallCaps w:val="0"/>
          <w:noProof w:val="0"/>
          <w:sz w:val="22"/>
          <w:szCs w:val="22"/>
          <w:lang w:val="en-US"/>
        </w:rPr>
        <w:tab/>
      </w:r>
    </w:p>
    <w:p w:rsidR="00874E80" w:rsidRPr="002A17A3" w:rsidRDefault="002A17A3" w:rsidP="002A17A3">
      <w:pPr>
        <w:pStyle w:val="DocumentHeading"/>
        <w:tabs>
          <w:tab w:val="left" w:pos="630"/>
        </w:tabs>
        <w:jc w:val="left"/>
        <w:rPr>
          <w:rFonts w:ascii="Arial" w:hAnsi="Arial" w:cs="Arial"/>
          <w:smallCaps w:val="0"/>
          <w:noProof w:val="0"/>
          <w:sz w:val="22"/>
          <w:szCs w:val="22"/>
          <w:u w:val="single"/>
          <w:lang w:val="en-US"/>
        </w:rPr>
      </w:pPr>
      <w:r>
        <w:rPr>
          <w:rFonts w:ascii="Arial" w:hAnsi="Arial" w:cs="Arial"/>
          <w:smallCaps w:val="0"/>
          <w:noProof w:val="0"/>
          <w:sz w:val="22"/>
          <w:szCs w:val="22"/>
          <w:u w:val="single"/>
          <w:lang w:val="en-US"/>
        </w:rPr>
        <w:t>OR</w:t>
      </w:r>
    </w:p>
    <w:p w:rsidR="00874E80" w:rsidRPr="00E354B6" w:rsidRDefault="00874E80" w:rsidP="00F94131">
      <w:pPr>
        <w:pStyle w:val="DocumentHeading"/>
        <w:tabs>
          <w:tab w:val="left" w:pos="630"/>
        </w:tabs>
        <w:ind w:left="720"/>
        <w:jc w:val="left"/>
        <w:rPr>
          <w:rFonts w:ascii="Arial" w:hAnsi="Arial" w:cs="Arial"/>
          <w:smallCaps w:val="0"/>
          <w:noProof w:val="0"/>
          <w:sz w:val="22"/>
          <w:szCs w:val="22"/>
          <w:lang w:val="en-US"/>
        </w:rPr>
      </w:pPr>
      <w:r w:rsidRPr="00E354B6">
        <w:rPr>
          <w:rFonts w:ascii="Arial" w:hAnsi="Arial" w:cs="Arial"/>
          <w:smallCaps w:val="0"/>
          <w:noProof w:val="0"/>
          <w:sz w:val="22"/>
          <w:szCs w:val="22"/>
          <w:lang w:val="en-US"/>
        </w:rPr>
        <w:tab/>
        <w:t>Choice 4</w:t>
      </w:r>
    </w:p>
    <w:p w:rsidR="00874E80" w:rsidRPr="00E354B6" w:rsidRDefault="00874E80" w:rsidP="00F94131">
      <w:pPr>
        <w:pStyle w:val="DocumentHeading"/>
        <w:numPr>
          <w:ilvl w:val="0"/>
          <w:numId w:val="16"/>
        </w:numPr>
        <w:tabs>
          <w:tab w:val="clear" w:pos="1080"/>
          <w:tab w:val="left" w:pos="630"/>
          <w:tab w:val="num" w:pos="1800"/>
        </w:tabs>
        <w:ind w:left="1803" w:hanging="374"/>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 xml:space="preserve">Presentation in class of an oral </w:t>
      </w:r>
      <w:r w:rsidRPr="00E354B6">
        <w:rPr>
          <w:rFonts w:ascii="Arial" w:hAnsi="Arial" w:cs="Arial"/>
          <w:smallCaps w:val="0"/>
          <w:noProof w:val="0"/>
          <w:sz w:val="22"/>
          <w:szCs w:val="22"/>
          <w:lang w:val="en-US"/>
        </w:rPr>
        <w:t>critique and/or commentary</w:t>
      </w:r>
      <w:r w:rsidRPr="00E354B6">
        <w:rPr>
          <w:rFonts w:ascii="Arial" w:hAnsi="Arial" w:cs="Arial"/>
          <w:b w:val="0"/>
          <w:smallCaps w:val="0"/>
          <w:noProof w:val="0"/>
          <w:sz w:val="22"/>
          <w:szCs w:val="22"/>
          <w:lang w:val="en-US"/>
        </w:rPr>
        <w:t xml:space="preserve"> on constitutional material 6-8 minutes (20 marks); and</w:t>
      </w:r>
    </w:p>
    <w:p w:rsidR="00874E80" w:rsidRPr="00E354B6" w:rsidRDefault="00874E80" w:rsidP="00F94131">
      <w:pPr>
        <w:pStyle w:val="DocumentHeading"/>
        <w:numPr>
          <w:ilvl w:val="0"/>
          <w:numId w:val="16"/>
        </w:numPr>
        <w:tabs>
          <w:tab w:val="clear" w:pos="1080"/>
          <w:tab w:val="left" w:pos="630"/>
          <w:tab w:val="num" w:pos="1800"/>
        </w:tabs>
        <w:ind w:left="1803" w:hanging="374"/>
        <w:jc w:val="left"/>
        <w:rPr>
          <w:rFonts w:ascii="Arial" w:hAnsi="Arial" w:cs="Arial"/>
          <w:b w:val="0"/>
          <w:smallCaps w:val="0"/>
          <w:noProof w:val="0"/>
          <w:sz w:val="22"/>
          <w:szCs w:val="22"/>
          <w:lang w:val="en-US"/>
        </w:rPr>
      </w:pPr>
      <w:r w:rsidRPr="00E354B6">
        <w:rPr>
          <w:rFonts w:ascii="Arial" w:hAnsi="Arial" w:cs="Arial"/>
          <w:b w:val="0"/>
          <w:smallCaps w:val="0"/>
          <w:noProof w:val="0"/>
          <w:sz w:val="22"/>
          <w:szCs w:val="22"/>
          <w:lang w:val="en-US"/>
        </w:rPr>
        <w:t>Written argument in support of your constitutional critique and/or commentary - 2000 words (20 marks).</w:t>
      </w:r>
    </w:p>
    <w:p w:rsidR="00257FE2" w:rsidRPr="00257FE2" w:rsidRDefault="00257FE2">
      <w:pPr>
        <w:spacing w:after="200" w:line="276" w:lineRule="auto"/>
        <w:rPr>
          <w:rFonts w:ascii="Arial" w:hAnsi="Arial" w:cs="Arial"/>
        </w:rPr>
      </w:pPr>
    </w:p>
    <w:p w:rsidR="00F94131" w:rsidRDefault="00F94131">
      <w:pPr>
        <w:spacing w:after="200" w:line="276" w:lineRule="auto"/>
        <w:rPr>
          <w:rFonts w:ascii="Arial" w:hAnsi="Arial" w:cs="Arial"/>
          <w:b/>
          <w:color w:val="000000"/>
        </w:rPr>
      </w:pPr>
      <w:r>
        <w:rPr>
          <w:rFonts w:ascii="Arial" w:hAnsi="Arial" w:cs="Arial"/>
          <w:b/>
          <w:color w:val="000000"/>
        </w:rPr>
        <w:br w:type="page"/>
      </w:r>
    </w:p>
    <w:p w:rsidR="0033206D" w:rsidRPr="00257FE2" w:rsidRDefault="0033206D" w:rsidP="0033206D">
      <w:pPr>
        <w:jc w:val="both"/>
        <w:rPr>
          <w:rFonts w:ascii="Arial" w:hAnsi="Arial" w:cs="Arial"/>
          <w:b/>
          <w:color w:val="000000"/>
        </w:rPr>
      </w:pPr>
      <w:proofErr w:type="gramStart"/>
      <w:r w:rsidRPr="00257FE2">
        <w:rPr>
          <w:rFonts w:ascii="Arial" w:hAnsi="Arial" w:cs="Arial"/>
          <w:b/>
          <w:color w:val="000000"/>
        </w:rPr>
        <w:lastRenderedPageBreak/>
        <w:t>2006 Sir Harry Gibb’s Constitutional Law Moot question.</w:t>
      </w:r>
      <w:proofErr w:type="gramEnd"/>
      <w:r w:rsidRPr="00257FE2">
        <w:rPr>
          <w:rFonts w:ascii="Arial" w:hAnsi="Arial" w:cs="Arial"/>
          <w:b/>
          <w:color w:val="000000"/>
        </w:rPr>
        <w:t xml:space="preserve"> ‘Work Choices Contribution Levy Act’</w:t>
      </w:r>
    </w:p>
    <w:p w:rsidR="0033206D" w:rsidRPr="0033206D" w:rsidRDefault="0033206D" w:rsidP="0033206D">
      <w:pPr>
        <w:jc w:val="both"/>
        <w:rPr>
          <w:rFonts w:ascii="Arial" w:hAnsi="Arial" w:cs="Arial"/>
          <w:i/>
          <w:color w:val="000000"/>
        </w:rPr>
      </w:pPr>
    </w:p>
    <w:p w:rsidR="0033206D" w:rsidRPr="00535EDB" w:rsidRDefault="0033206D" w:rsidP="0033206D">
      <w:pPr>
        <w:numPr>
          <w:ilvl w:val="0"/>
          <w:numId w:val="2"/>
        </w:numPr>
        <w:tabs>
          <w:tab w:val="clear" w:pos="720"/>
          <w:tab w:val="num" w:pos="360"/>
        </w:tabs>
        <w:autoSpaceDE w:val="0"/>
        <w:autoSpaceDN w:val="0"/>
        <w:adjustRightInd w:val="0"/>
        <w:ind w:left="360"/>
        <w:jc w:val="both"/>
        <w:rPr>
          <w:rFonts w:ascii="Arial" w:hAnsi="Arial" w:cs="Arial"/>
          <w:color w:val="000000"/>
          <w:sz w:val="20"/>
          <w:szCs w:val="20"/>
        </w:rPr>
      </w:pPr>
      <w:r w:rsidRPr="00535EDB">
        <w:rPr>
          <w:rFonts w:ascii="Arial" w:hAnsi="Arial" w:cs="Arial"/>
          <w:color w:val="000000"/>
          <w:sz w:val="20"/>
          <w:szCs w:val="20"/>
        </w:rPr>
        <w:t>Tax</w:t>
      </w:r>
    </w:p>
    <w:p w:rsidR="0033206D" w:rsidRPr="00535EDB" w:rsidRDefault="0033206D" w:rsidP="0033206D">
      <w:pPr>
        <w:numPr>
          <w:ilvl w:val="0"/>
          <w:numId w:val="2"/>
        </w:numPr>
        <w:tabs>
          <w:tab w:val="clear" w:pos="720"/>
          <w:tab w:val="num" w:pos="360"/>
        </w:tabs>
        <w:autoSpaceDE w:val="0"/>
        <w:autoSpaceDN w:val="0"/>
        <w:adjustRightInd w:val="0"/>
        <w:ind w:left="360"/>
        <w:jc w:val="both"/>
        <w:rPr>
          <w:rFonts w:ascii="Arial" w:hAnsi="Arial" w:cs="Arial"/>
          <w:color w:val="000000"/>
          <w:sz w:val="20"/>
          <w:szCs w:val="20"/>
        </w:rPr>
      </w:pPr>
      <w:r w:rsidRPr="00535EDB">
        <w:rPr>
          <w:rFonts w:ascii="Arial" w:hAnsi="Arial" w:cs="Arial"/>
          <w:color w:val="000000"/>
          <w:sz w:val="20"/>
          <w:szCs w:val="20"/>
        </w:rPr>
        <w:t>Immunities</w:t>
      </w:r>
    </w:p>
    <w:p w:rsidR="0033206D" w:rsidRPr="00535EDB" w:rsidRDefault="0033206D" w:rsidP="0033206D">
      <w:pPr>
        <w:jc w:val="both"/>
        <w:rPr>
          <w:rFonts w:ascii="Arial" w:hAnsi="Arial" w:cs="Arial"/>
          <w:color w:val="000000"/>
          <w:sz w:val="20"/>
          <w:szCs w:val="20"/>
        </w:rPr>
      </w:pPr>
      <w:bookmarkStart w:id="0" w:name="_GoBack"/>
      <w:bookmarkEnd w:id="0"/>
    </w:p>
    <w:p w:rsidR="0033206D" w:rsidRPr="00535EDB" w:rsidRDefault="0033206D" w:rsidP="0033206D">
      <w:pPr>
        <w:jc w:val="both"/>
        <w:rPr>
          <w:rFonts w:ascii="Arial" w:hAnsi="Arial" w:cs="Arial"/>
          <w:b/>
          <w:color w:val="000000"/>
          <w:sz w:val="20"/>
          <w:szCs w:val="20"/>
        </w:rPr>
      </w:pPr>
      <w:r w:rsidRPr="00535EDB">
        <w:rPr>
          <w:rFonts w:ascii="Arial" w:hAnsi="Arial" w:cs="Arial"/>
          <w:b/>
          <w:color w:val="000000"/>
          <w:sz w:val="20"/>
          <w:szCs w:val="20"/>
        </w:rPr>
        <w:t xml:space="preserve"> Permission to reproduce granted.  </w:t>
      </w:r>
    </w:p>
    <w:p w:rsidR="0033206D" w:rsidRPr="00535EDB" w:rsidRDefault="0033206D" w:rsidP="0033206D">
      <w:pPr>
        <w:rPr>
          <w:rFonts w:ascii="Arial" w:hAnsi="Arial" w:cs="Arial"/>
          <w:sz w:val="20"/>
          <w:szCs w:val="20"/>
        </w:rPr>
      </w:pPr>
    </w:p>
    <w:p w:rsidR="0033206D" w:rsidRPr="00535EDB" w:rsidRDefault="0033206D" w:rsidP="0033206D">
      <w:pPr>
        <w:jc w:val="both"/>
        <w:rPr>
          <w:rFonts w:ascii="Arial" w:hAnsi="Arial" w:cs="Arial"/>
          <w:sz w:val="20"/>
          <w:szCs w:val="20"/>
        </w:rPr>
      </w:pPr>
      <w:r w:rsidRPr="00535EDB">
        <w:rPr>
          <w:rFonts w:ascii="Arial" w:hAnsi="Arial" w:cs="Arial"/>
          <w:sz w:val="20"/>
          <w:szCs w:val="20"/>
        </w:rPr>
        <w:t>The federal government recently introduced a uniform industrial relations system into Australia. The purpose of the legislation is clearly expressed in section 3 of the</w:t>
      </w:r>
      <w:r w:rsidRPr="00535EDB">
        <w:rPr>
          <w:rFonts w:ascii="Arial" w:hAnsi="Arial" w:cs="Arial"/>
          <w:i/>
          <w:sz w:val="20"/>
          <w:szCs w:val="20"/>
        </w:rPr>
        <w:t xml:space="preserve"> Workplace Relations Act 1996. </w:t>
      </w:r>
      <w:r w:rsidRPr="00535EDB">
        <w:rPr>
          <w:rFonts w:ascii="Arial" w:hAnsi="Arial" w:cs="Arial"/>
          <w:sz w:val="20"/>
          <w:szCs w:val="20"/>
        </w:rPr>
        <w:t xml:space="preserve">One of the objectives mentioned in this section is for “establishing and maintaining a simplified national system of workplace relations”. To this end the government has enacted the </w:t>
      </w:r>
      <w:r w:rsidRPr="00535EDB">
        <w:rPr>
          <w:rFonts w:ascii="Arial" w:hAnsi="Arial" w:cs="Arial"/>
          <w:i/>
          <w:sz w:val="20"/>
          <w:szCs w:val="20"/>
        </w:rPr>
        <w:t>Workplace Relations Amendment (Work Choices) Act</w:t>
      </w:r>
      <w:r w:rsidRPr="00535EDB">
        <w:rPr>
          <w:rFonts w:ascii="Arial" w:hAnsi="Arial" w:cs="Arial"/>
          <w:sz w:val="20"/>
          <w:szCs w:val="20"/>
        </w:rPr>
        <w:t xml:space="preserve"> 2005. This Act relies primarily on the corporation’s power for its constitutional validity. However, the federal government has decided that this will not give sufficient coverage to ensure a ‘simplified national system of workplace relations throughout Australia. Accordingly, it has decided to also rely upon the taxation power to further extend its control over industrial relations.</w:t>
      </w:r>
    </w:p>
    <w:p w:rsidR="0033206D" w:rsidRPr="00535EDB" w:rsidRDefault="0033206D" w:rsidP="0033206D">
      <w:pPr>
        <w:jc w:val="both"/>
        <w:rPr>
          <w:rFonts w:ascii="Arial" w:hAnsi="Arial" w:cs="Arial"/>
          <w:sz w:val="20"/>
          <w:szCs w:val="20"/>
        </w:rPr>
      </w:pPr>
    </w:p>
    <w:p w:rsidR="0033206D" w:rsidRPr="00535EDB" w:rsidRDefault="0033206D" w:rsidP="0033206D">
      <w:pPr>
        <w:jc w:val="both"/>
        <w:rPr>
          <w:rFonts w:ascii="Arial" w:hAnsi="Arial" w:cs="Arial"/>
          <w:sz w:val="20"/>
          <w:szCs w:val="20"/>
        </w:rPr>
      </w:pPr>
      <w:r w:rsidRPr="00535EDB">
        <w:rPr>
          <w:rFonts w:ascii="Arial" w:hAnsi="Arial" w:cs="Arial"/>
          <w:sz w:val="20"/>
          <w:szCs w:val="20"/>
        </w:rPr>
        <w:t>To this end, the federal government has introduced the Work Choices Contribution Levy Act 2006. This Act imposes what amounts to a payroll tax. Employers are taxed on the salary or wages of employees whose contract of employment does not meet the requirements of the Workplace Relations Act 1996.</w:t>
      </w:r>
    </w:p>
    <w:p w:rsidR="0033206D" w:rsidRPr="00535EDB" w:rsidRDefault="0033206D" w:rsidP="0033206D">
      <w:pPr>
        <w:jc w:val="both"/>
        <w:rPr>
          <w:rFonts w:ascii="Arial" w:hAnsi="Arial" w:cs="Arial"/>
          <w:sz w:val="20"/>
          <w:szCs w:val="20"/>
        </w:rPr>
      </w:pPr>
    </w:p>
    <w:p w:rsidR="0033206D" w:rsidRPr="00535EDB" w:rsidRDefault="0033206D" w:rsidP="0033206D">
      <w:pPr>
        <w:jc w:val="both"/>
        <w:rPr>
          <w:rFonts w:ascii="Arial" w:hAnsi="Arial" w:cs="Arial"/>
          <w:sz w:val="20"/>
          <w:szCs w:val="20"/>
        </w:rPr>
      </w:pPr>
      <w:r w:rsidRPr="00535EDB">
        <w:rPr>
          <w:rFonts w:ascii="Arial" w:hAnsi="Arial" w:cs="Arial"/>
          <w:sz w:val="20"/>
          <w:szCs w:val="20"/>
        </w:rPr>
        <w:t>South Australia has challenged the constitutional validity of the Work Choices Contribution Levy Act.</w:t>
      </w:r>
    </w:p>
    <w:p w:rsidR="0033206D" w:rsidRPr="00535EDB" w:rsidRDefault="0033206D" w:rsidP="0033206D">
      <w:pPr>
        <w:jc w:val="both"/>
        <w:rPr>
          <w:rFonts w:ascii="Arial" w:hAnsi="Arial" w:cs="Arial"/>
          <w:sz w:val="20"/>
          <w:szCs w:val="20"/>
        </w:rPr>
      </w:pPr>
    </w:p>
    <w:p w:rsidR="0033206D" w:rsidRPr="00535EDB" w:rsidRDefault="0033206D" w:rsidP="0033206D">
      <w:pPr>
        <w:rPr>
          <w:rFonts w:ascii="Arial" w:hAnsi="Arial" w:cs="Arial"/>
          <w:b/>
          <w:sz w:val="20"/>
          <w:szCs w:val="20"/>
        </w:rPr>
      </w:pPr>
      <w:r w:rsidRPr="00535EDB">
        <w:rPr>
          <w:rFonts w:ascii="Arial" w:hAnsi="Arial" w:cs="Arial"/>
          <w:b/>
          <w:sz w:val="20"/>
          <w:szCs w:val="20"/>
        </w:rPr>
        <w:t>Work Choices Contribution Levy Act 2006</w:t>
      </w:r>
    </w:p>
    <w:p w:rsidR="0033206D" w:rsidRPr="00535EDB" w:rsidRDefault="0033206D" w:rsidP="0033206D">
      <w:pPr>
        <w:rPr>
          <w:rFonts w:ascii="Arial" w:hAnsi="Arial" w:cs="Arial"/>
          <w:sz w:val="20"/>
          <w:szCs w:val="20"/>
        </w:rPr>
      </w:pPr>
    </w:p>
    <w:p w:rsidR="0033206D" w:rsidRPr="00535EDB" w:rsidRDefault="0033206D" w:rsidP="0033206D">
      <w:pPr>
        <w:rPr>
          <w:rFonts w:ascii="Arial" w:hAnsi="Arial" w:cs="Arial"/>
          <w:sz w:val="20"/>
          <w:szCs w:val="20"/>
        </w:rPr>
      </w:pPr>
      <w:r w:rsidRPr="00535EDB">
        <w:rPr>
          <w:rFonts w:ascii="Arial" w:hAnsi="Arial" w:cs="Arial"/>
          <w:sz w:val="20"/>
          <w:szCs w:val="20"/>
        </w:rPr>
        <w:t>Act No 999 of 2006</w:t>
      </w:r>
    </w:p>
    <w:p w:rsidR="0033206D" w:rsidRPr="00535EDB" w:rsidRDefault="0033206D" w:rsidP="0033206D">
      <w:pPr>
        <w:rPr>
          <w:rFonts w:ascii="Arial" w:hAnsi="Arial" w:cs="Arial"/>
          <w:sz w:val="20"/>
          <w:szCs w:val="20"/>
        </w:rPr>
      </w:pPr>
    </w:p>
    <w:p w:rsidR="0033206D" w:rsidRPr="00535EDB" w:rsidRDefault="0033206D" w:rsidP="0033206D">
      <w:pPr>
        <w:rPr>
          <w:rFonts w:ascii="Arial" w:hAnsi="Arial" w:cs="Arial"/>
          <w:sz w:val="20"/>
          <w:szCs w:val="20"/>
        </w:rPr>
      </w:pPr>
      <w:proofErr w:type="gramStart"/>
      <w:r w:rsidRPr="00535EDB">
        <w:rPr>
          <w:rFonts w:ascii="Arial" w:hAnsi="Arial" w:cs="Arial"/>
          <w:sz w:val="20"/>
          <w:szCs w:val="20"/>
        </w:rPr>
        <w:t>An Act relating to the establishment and administration of the work choices contribution scheme and for related purposes.</w:t>
      </w:r>
      <w:proofErr w:type="gramEnd"/>
    </w:p>
    <w:p w:rsidR="0033206D" w:rsidRPr="00535EDB" w:rsidRDefault="0033206D" w:rsidP="0033206D">
      <w:pPr>
        <w:rPr>
          <w:rFonts w:ascii="Arial" w:hAnsi="Arial" w:cs="Arial"/>
          <w:sz w:val="20"/>
          <w:szCs w:val="20"/>
        </w:rPr>
      </w:pPr>
    </w:p>
    <w:p w:rsidR="0033206D" w:rsidRPr="00535EDB" w:rsidRDefault="0033206D" w:rsidP="0033206D">
      <w:pPr>
        <w:rPr>
          <w:rFonts w:ascii="Arial" w:hAnsi="Arial" w:cs="Arial"/>
          <w:b/>
          <w:sz w:val="20"/>
          <w:szCs w:val="20"/>
        </w:rPr>
      </w:pPr>
      <w:r w:rsidRPr="00535EDB">
        <w:rPr>
          <w:rFonts w:ascii="Arial" w:hAnsi="Arial" w:cs="Arial"/>
          <w:b/>
          <w:sz w:val="20"/>
          <w:szCs w:val="20"/>
        </w:rPr>
        <w:t>Part 1</w:t>
      </w:r>
      <w:r w:rsidRPr="00535EDB">
        <w:rPr>
          <w:rFonts w:ascii="Arial" w:hAnsi="Arial" w:cs="Arial"/>
          <w:b/>
          <w:sz w:val="20"/>
          <w:szCs w:val="20"/>
        </w:rPr>
        <w:tab/>
        <w:t>Preliminary</w:t>
      </w:r>
    </w:p>
    <w:p w:rsidR="0033206D" w:rsidRPr="00535EDB" w:rsidRDefault="0033206D" w:rsidP="0033206D">
      <w:pPr>
        <w:numPr>
          <w:ilvl w:val="0"/>
          <w:numId w:val="3"/>
        </w:numPr>
        <w:rPr>
          <w:rFonts w:ascii="Arial" w:hAnsi="Arial" w:cs="Arial"/>
          <w:sz w:val="20"/>
          <w:szCs w:val="20"/>
        </w:rPr>
      </w:pPr>
      <w:r w:rsidRPr="00535EDB">
        <w:rPr>
          <w:rFonts w:ascii="Arial" w:hAnsi="Arial" w:cs="Arial"/>
          <w:sz w:val="20"/>
          <w:szCs w:val="20"/>
        </w:rPr>
        <w:t>Short Title</w:t>
      </w:r>
    </w:p>
    <w:p w:rsidR="0033206D" w:rsidRPr="00535EDB" w:rsidRDefault="0033206D" w:rsidP="0033206D">
      <w:pPr>
        <w:rPr>
          <w:rFonts w:ascii="Arial" w:hAnsi="Arial" w:cs="Arial"/>
          <w:sz w:val="20"/>
          <w:szCs w:val="20"/>
        </w:rPr>
      </w:pPr>
      <w:r w:rsidRPr="00535EDB">
        <w:rPr>
          <w:rFonts w:ascii="Arial" w:hAnsi="Arial" w:cs="Arial"/>
          <w:sz w:val="20"/>
          <w:szCs w:val="20"/>
        </w:rPr>
        <w:t>This Act may be cited as the Work Choices Contribution Levy Act 2006.</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Commencement</w:t>
      </w:r>
    </w:p>
    <w:p w:rsidR="0033206D" w:rsidRPr="00535EDB" w:rsidRDefault="0033206D" w:rsidP="0033206D">
      <w:pPr>
        <w:rPr>
          <w:rFonts w:ascii="Arial" w:hAnsi="Arial" w:cs="Arial"/>
          <w:sz w:val="20"/>
          <w:szCs w:val="20"/>
        </w:rPr>
      </w:pPr>
      <w:r w:rsidRPr="00535EDB">
        <w:rPr>
          <w:rFonts w:ascii="Arial" w:hAnsi="Arial" w:cs="Arial"/>
          <w:sz w:val="20"/>
          <w:szCs w:val="20"/>
        </w:rPr>
        <w:t>This Act commences on 1 June 2006.</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 xml:space="preserve">Act binds the Crown </w:t>
      </w:r>
      <w:proofErr w:type="spellStart"/>
      <w:r w:rsidRPr="00535EDB">
        <w:rPr>
          <w:rFonts w:ascii="Arial" w:hAnsi="Arial" w:cs="Arial"/>
          <w:b/>
          <w:sz w:val="20"/>
          <w:szCs w:val="20"/>
        </w:rPr>
        <w:t>etc</w:t>
      </w:r>
      <w:proofErr w:type="spellEnd"/>
    </w:p>
    <w:p w:rsidR="0033206D" w:rsidRPr="00535EDB" w:rsidRDefault="0033206D" w:rsidP="0033206D">
      <w:pPr>
        <w:ind w:left="360"/>
        <w:rPr>
          <w:rFonts w:ascii="Arial" w:hAnsi="Arial" w:cs="Arial"/>
          <w:b/>
          <w:sz w:val="20"/>
          <w:szCs w:val="20"/>
        </w:rPr>
      </w:pPr>
    </w:p>
    <w:p w:rsidR="0033206D" w:rsidRPr="00535EDB" w:rsidRDefault="0033206D" w:rsidP="0033206D">
      <w:pPr>
        <w:numPr>
          <w:ilvl w:val="0"/>
          <w:numId w:val="4"/>
        </w:numPr>
        <w:rPr>
          <w:rFonts w:ascii="Arial" w:hAnsi="Arial" w:cs="Arial"/>
          <w:sz w:val="20"/>
          <w:szCs w:val="20"/>
        </w:rPr>
      </w:pPr>
      <w:r w:rsidRPr="00535EDB">
        <w:rPr>
          <w:rFonts w:ascii="Arial" w:hAnsi="Arial" w:cs="Arial"/>
          <w:sz w:val="20"/>
          <w:szCs w:val="20"/>
        </w:rPr>
        <w:t>This Act binds the Crown in right of the Commonwealth, each State, the Australian Capital Territory and the Northern Territory.</w:t>
      </w:r>
    </w:p>
    <w:p w:rsidR="0033206D" w:rsidRPr="00535EDB" w:rsidRDefault="0033206D" w:rsidP="0033206D">
      <w:pPr>
        <w:numPr>
          <w:ilvl w:val="0"/>
          <w:numId w:val="4"/>
        </w:numPr>
        <w:rPr>
          <w:rFonts w:ascii="Arial" w:hAnsi="Arial" w:cs="Arial"/>
          <w:sz w:val="20"/>
          <w:szCs w:val="20"/>
        </w:rPr>
      </w:pPr>
      <w:r w:rsidRPr="00535EDB">
        <w:rPr>
          <w:rFonts w:ascii="Arial" w:hAnsi="Arial" w:cs="Arial"/>
          <w:sz w:val="20"/>
          <w:szCs w:val="20"/>
        </w:rPr>
        <w:t>Nothing in this Act permits the Crown to be prosecuted for an offence.</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Purpose</w:t>
      </w:r>
    </w:p>
    <w:p w:rsidR="0033206D" w:rsidRPr="00535EDB" w:rsidRDefault="0033206D" w:rsidP="0033206D">
      <w:pPr>
        <w:rPr>
          <w:rFonts w:ascii="Arial" w:hAnsi="Arial" w:cs="Arial"/>
          <w:sz w:val="20"/>
          <w:szCs w:val="20"/>
        </w:rPr>
      </w:pPr>
      <w:r w:rsidRPr="00535EDB">
        <w:rPr>
          <w:rFonts w:ascii="Arial" w:hAnsi="Arial" w:cs="Arial"/>
          <w:sz w:val="20"/>
          <w:szCs w:val="20"/>
        </w:rPr>
        <w:t>The purpose of this legislation is to better ensure provision of a structure for the implementation of an Australian wide workplace employment strategy through employer contributions for maintenance of an Australian Fair Pay Commission.</w:t>
      </w:r>
    </w:p>
    <w:p w:rsidR="0033206D" w:rsidRPr="00535EDB" w:rsidRDefault="0033206D" w:rsidP="0033206D">
      <w:pPr>
        <w:rPr>
          <w:rFonts w:ascii="Arial" w:hAnsi="Arial" w:cs="Arial"/>
          <w:b/>
          <w:sz w:val="20"/>
          <w:szCs w:val="20"/>
        </w:rPr>
      </w:pPr>
    </w:p>
    <w:p w:rsidR="0033206D" w:rsidRPr="00535EDB" w:rsidRDefault="0033206D" w:rsidP="0033206D">
      <w:pPr>
        <w:rPr>
          <w:rFonts w:ascii="Arial" w:hAnsi="Arial" w:cs="Arial"/>
          <w:b/>
          <w:sz w:val="20"/>
          <w:szCs w:val="20"/>
        </w:rPr>
      </w:pPr>
    </w:p>
    <w:p w:rsidR="0033206D" w:rsidRPr="00535EDB" w:rsidRDefault="0033206D" w:rsidP="0033206D">
      <w:pPr>
        <w:rPr>
          <w:rFonts w:ascii="Arial" w:hAnsi="Arial" w:cs="Arial"/>
          <w:b/>
          <w:sz w:val="20"/>
          <w:szCs w:val="20"/>
        </w:rPr>
      </w:pPr>
    </w:p>
    <w:p w:rsidR="0033206D" w:rsidRPr="00535EDB" w:rsidRDefault="0033206D" w:rsidP="0033206D">
      <w:pPr>
        <w:rPr>
          <w:rFonts w:ascii="Arial" w:hAnsi="Arial" w:cs="Arial"/>
          <w:b/>
          <w:sz w:val="20"/>
          <w:szCs w:val="20"/>
        </w:rPr>
      </w:pPr>
      <w:r w:rsidRPr="00535EDB">
        <w:rPr>
          <w:rFonts w:ascii="Arial" w:hAnsi="Arial" w:cs="Arial"/>
          <w:b/>
          <w:sz w:val="20"/>
          <w:szCs w:val="20"/>
        </w:rPr>
        <w:t>Part 2</w:t>
      </w:r>
      <w:r w:rsidRPr="00535EDB">
        <w:rPr>
          <w:rFonts w:ascii="Arial" w:hAnsi="Arial" w:cs="Arial"/>
          <w:b/>
          <w:sz w:val="20"/>
          <w:szCs w:val="20"/>
        </w:rPr>
        <w:tab/>
        <w:t>Explanation of Terms</w:t>
      </w:r>
    </w:p>
    <w:p w:rsidR="0033206D" w:rsidRPr="00535EDB" w:rsidRDefault="0033206D" w:rsidP="0033206D">
      <w:pPr>
        <w:rPr>
          <w:rFonts w:ascii="Arial" w:hAnsi="Arial" w:cs="Arial"/>
          <w:b/>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Interpretation</w:t>
      </w:r>
    </w:p>
    <w:p w:rsidR="0033206D" w:rsidRPr="00535EDB" w:rsidRDefault="0033206D" w:rsidP="0033206D">
      <w:pPr>
        <w:ind w:left="360"/>
        <w:rPr>
          <w:rFonts w:ascii="Arial" w:hAnsi="Arial" w:cs="Arial"/>
          <w:sz w:val="20"/>
          <w:szCs w:val="20"/>
        </w:rPr>
      </w:pPr>
    </w:p>
    <w:p w:rsidR="0033206D" w:rsidRPr="00535EDB" w:rsidRDefault="0033206D" w:rsidP="0033206D">
      <w:pPr>
        <w:ind w:left="360"/>
        <w:rPr>
          <w:rFonts w:ascii="Arial" w:hAnsi="Arial" w:cs="Arial"/>
          <w:sz w:val="20"/>
          <w:szCs w:val="20"/>
        </w:rPr>
      </w:pPr>
      <w:r w:rsidRPr="00535EDB">
        <w:rPr>
          <w:rFonts w:ascii="Arial" w:hAnsi="Arial" w:cs="Arial"/>
          <w:sz w:val="20"/>
          <w:szCs w:val="20"/>
        </w:rPr>
        <w:t>In this Act, unless contrary intention appears:</w:t>
      </w:r>
    </w:p>
    <w:p w:rsidR="0033206D" w:rsidRPr="00535EDB" w:rsidRDefault="0033206D" w:rsidP="0033206D">
      <w:pPr>
        <w:ind w:left="720"/>
        <w:rPr>
          <w:rFonts w:ascii="Arial" w:hAnsi="Arial" w:cs="Arial"/>
          <w:sz w:val="20"/>
          <w:szCs w:val="20"/>
        </w:rPr>
      </w:pPr>
    </w:p>
    <w:p w:rsidR="0033206D" w:rsidRPr="00535EDB" w:rsidRDefault="0033206D" w:rsidP="0033206D">
      <w:pPr>
        <w:ind w:left="720"/>
        <w:rPr>
          <w:rFonts w:ascii="Arial" w:hAnsi="Arial" w:cs="Arial"/>
          <w:sz w:val="20"/>
          <w:szCs w:val="20"/>
        </w:rPr>
      </w:pPr>
      <w:r w:rsidRPr="00535EDB">
        <w:rPr>
          <w:rFonts w:ascii="Arial" w:hAnsi="Arial" w:cs="Arial"/>
          <w:b/>
          <w:sz w:val="20"/>
          <w:szCs w:val="20"/>
        </w:rPr>
        <w:lastRenderedPageBreak/>
        <w:t>Earning base</w:t>
      </w:r>
      <w:r w:rsidRPr="00535EDB">
        <w:rPr>
          <w:rFonts w:ascii="Arial" w:hAnsi="Arial" w:cs="Arial"/>
          <w:sz w:val="20"/>
          <w:szCs w:val="20"/>
        </w:rPr>
        <w:t xml:space="preserve"> is the salary or wage of an employee including any commission and fringe benefit component for the income year, or for the period of the income year for which an employee was employed</w:t>
      </w:r>
    </w:p>
    <w:p w:rsidR="0033206D" w:rsidRPr="00535EDB" w:rsidRDefault="0033206D" w:rsidP="0033206D">
      <w:pPr>
        <w:ind w:left="720"/>
        <w:rPr>
          <w:rFonts w:ascii="Arial" w:hAnsi="Arial" w:cs="Arial"/>
          <w:sz w:val="20"/>
          <w:szCs w:val="20"/>
        </w:rPr>
      </w:pPr>
    </w:p>
    <w:p w:rsidR="0033206D" w:rsidRPr="00535EDB" w:rsidRDefault="0033206D" w:rsidP="0033206D">
      <w:pPr>
        <w:ind w:left="720"/>
        <w:rPr>
          <w:rFonts w:ascii="Arial" w:hAnsi="Arial" w:cs="Arial"/>
          <w:b/>
          <w:sz w:val="20"/>
          <w:szCs w:val="20"/>
        </w:rPr>
      </w:pPr>
      <w:r w:rsidRPr="00535EDB">
        <w:rPr>
          <w:rFonts w:ascii="Arial" w:hAnsi="Arial" w:cs="Arial"/>
          <w:b/>
          <w:sz w:val="20"/>
          <w:szCs w:val="20"/>
        </w:rPr>
        <w:t>Employee, employer</w:t>
      </w:r>
    </w:p>
    <w:p w:rsidR="0033206D" w:rsidRPr="00535EDB" w:rsidRDefault="0033206D" w:rsidP="0033206D">
      <w:pPr>
        <w:numPr>
          <w:ilvl w:val="0"/>
          <w:numId w:val="5"/>
        </w:numPr>
        <w:tabs>
          <w:tab w:val="clear" w:pos="720"/>
          <w:tab w:val="num" w:pos="1080"/>
        </w:tabs>
        <w:ind w:left="1080"/>
        <w:rPr>
          <w:rFonts w:ascii="Arial" w:hAnsi="Arial" w:cs="Arial"/>
          <w:sz w:val="20"/>
          <w:szCs w:val="20"/>
        </w:rPr>
      </w:pPr>
      <w:r w:rsidRPr="00535EDB">
        <w:rPr>
          <w:rFonts w:ascii="Arial" w:hAnsi="Arial" w:cs="Arial"/>
          <w:sz w:val="20"/>
          <w:szCs w:val="20"/>
        </w:rPr>
        <w:t>In this Act, employee and employer have their ordinary meaning.</w:t>
      </w:r>
    </w:p>
    <w:p w:rsidR="0033206D" w:rsidRPr="00535EDB" w:rsidRDefault="0033206D" w:rsidP="0033206D">
      <w:pPr>
        <w:numPr>
          <w:ilvl w:val="0"/>
          <w:numId w:val="5"/>
        </w:numPr>
        <w:tabs>
          <w:tab w:val="clear" w:pos="720"/>
          <w:tab w:val="num" w:pos="1080"/>
        </w:tabs>
        <w:ind w:left="1080"/>
        <w:rPr>
          <w:rFonts w:ascii="Arial" w:hAnsi="Arial" w:cs="Arial"/>
          <w:sz w:val="20"/>
          <w:szCs w:val="20"/>
        </w:rPr>
      </w:pPr>
      <w:r w:rsidRPr="00535EDB">
        <w:rPr>
          <w:rFonts w:ascii="Arial" w:hAnsi="Arial" w:cs="Arial"/>
          <w:sz w:val="20"/>
          <w:szCs w:val="20"/>
        </w:rPr>
        <w:t>A person who is entitled to payment for the performance of duties as a member of the executive body (whether described as the board of directors or otherwise) of a body corporate is, in relation to those duties, an employee of the body corporate.</w:t>
      </w:r>
    </w:p>
    <w:p w:rsidR="0033206D" w:rsidRPr="00535EDB" w:rsidRDefault="0033206D" w:rsidP="0033206D">
      <w:pPr>
        <w:ind w:left="720"/>
        <w:rPr>
          <w:rFonts w:ascii="Arial" w:hAnsi="Arial" w:cs="Arial"/>
          <w:sz w:val="20"/>
          <w:szCs w:val="20"/>
        </w:rPr>
      </w:pPr>
    </w:p>
    <w:p w:rsidR="0033206D" w:rsidRPr="00535EDB" w:rsidRDefault="0033206D" w:rsidP="0033206D">
      <w:pPr>
        <w:ind w:left="720"/>
        <w:rPr>
          <w:rFonts w:ascii="Arial" w:hAnsi="Arial" w:cs="Arial"/>
          <w:sz w:val="20"/>
          <w:szCs w:val="20"/>
        </w:rPr>
      </w:pPr>
      <w:r w:rsidRPr="00535EDB">
        <w:rPr>
          <w:rFonts w:ascii="Arial" w:hAnsi="Arial" w:cs="Arial"/>
          <w:b/>
          <w:sz w:val="20"/>
          <w:szCs w:val="20"/>
        </w:rPr>
        <w:t>Employment</w:t>
      </w:r>
      <w:r w:rsidRPr="00535EDB">
        <w:rPr>
          <w:rFonts w:ascii="Arial" w:hAnsi="Arial" w:cs="Arial"/>
          <w:sz w:val="20"/>
          <w:szCs w:val="20"/>
        </w:rPr>
        <w:t xml:space="preserve"> means the employment of an employee by an employer</w:t>
      </w:r>
    </w:p>
    <w:p w:rsidR="0033206D" w:rsidRPr="00535EDB" w:rsidRDefault="0033206D" w:rsidP="0033206D">
      <w:pPr>
        <w:ind w:left="720"/>
        <w:rPr>
          <w:rFonts w:ascii="Arial" w:hAnsi="Arial" w:cs="Arial"/>
          <w:sz w:val="20"/>
          <w:szCs w:val="20"/>
        </w:rPr>
      </w:pPr>
    </w:p>
    <w:p w:rsidR="0033206D" w:rsidRPr="00535EDB" w:rsidRDefault="0033206D" w:rsidP="0033206D">
      <w:pPr>
        <w:ind w:left="720"/>
        <w:rPr>
          <w:rFonts w:ascii="Arial" w:hAnsi="Arial" w:cs="Arial"/>
          <w:sz w:val="20"/>
          <w:szCs w:val="20"/>
        </w:rPr>
      </w:pPr>
      <w:r w:rsidRPr="00535EDB">
        <w:rPr>
          <w:rFonts w:ascii="Arial" w:hAnsi="Arial" w:cs="Arial"/>
          <w:b/>
          <w:sz w:val="20"/>
          <w:szCs w:val="20"/>
        </w:rPr>
        <w:t>Income year</w:t>
      </w:r>
      <w:r w:rsidRPr="00535EDB">
        <w:rPr>
          <w:rFonts w:ascii="Arial" w:hAnsi="Arial" w:cs="Arial"/>
          <w:sz w:val="20"/>
          <w:szCs w:val="20"/>
        </w:rPr>
        <w:t xml:space="preserve"> is the period 1 July in one year to 31 June in the succeeding year.</w:t>
      </w:r>
    </w:p>
    <w:p w:rsidR="0033206D" w:rsidRPr="00535EDB" w:rsidRDefault="0033206D" w:rsidP="0033206D">
      <w:pPr>
        <w:ind w:left="720"/>
        <w:rPr>
          <w:rFonts w:ascii="Arial" w:hAnsi="Arial" w:cs="Arial"/>
          <w:sz w:val="20"/>
          <w:szCs w:val="20"/>
        </w:rPr>
      </w:pPr>
    </w:p>
    <w:p w:rsidR="0033206D" w:rsidRPr="00535EDB" w:rsidRDefault="0033206D" w:rsidP="0033206D">
      <w:pPr>
        <w:ind w:left="720"/>
        <w:rPr>
          <w:rFonts w:ascii="Arial" w:hAnsi="Arial" w:cs="Arial"/>
          <w:sz w:val="20"/>
          <w:szCs w:val="20"/>
        </w:rPr>
      </w:pPr>
      <w:r w:rsidRPr="00535EDB">
        <w:rPr>
          <w:rFonts w:ascii="Arial" w:hAnsi="Arial" w:cs="Arial"/>
          <w:b/>
          <w:sz w:val="20"/>
          <w:szCs w:val="20"/>
        </w:rPr>
        <w:t>Responsible</w:t>
      </w:r>
      <w:r w:rsidRPr="00535EDB">
        <w:rPr>
          <w:rFonts w:ascii="Arial" w:hAnsi="Arial" w:cs="Arial"/>
          <w:sz w:val="20"/>
          <w:szCs w:val="20"/>
        </w:rPr>
        <w:t xml:space="preserve"> authority has the meaning set out in section 8.</w:t>
      </w:r>
    </w:p>
    <w:p w:rsidR="0033206D" w:rsidRPr="00535EDB" w:rsidRDefault="0033206D" w:rsidP="0033206D">
      <w:pPr>
        <w:ind w:left="720"/>
        <w:rPr>
          <w:rFonts w:ascii="Arial" w:hAnsi="Arial" w:cs="Arial"/>
          <w:sz w:val="20"/>
          <w:szCs w:val="20"/>
        </w:rPr>
      </w:pPr>
    </w:p>
    <w:p w:rsidR="0033206D" w:rsidRPr="00535EDB" w:rsidRDefault="0033206D" w:rsidP="0033206D">
      <w:pPr>
        <w:ind w:left="720"/>
        <w:rPr>
          <w:rFonts w:ascii="Arial" w:hAnsi="Arial" w:cs="Arial"/>
          <w:sz w:val="20"/>
          <w:szCs w:val="20"/>
        </w:rPr>
      </w:pPr>
      <w:r w:rsidRPr="00535EDB">
        <w:rPr>
          <w:rFonts w:ascii="Arial" w:hAnsi="Arial" w:cs="Arial"/>
          <w:b/>
          <w:sz w:val="20"/>
          <w:szCs w:val="20"/>
        </w:rPr>
        <w:t>The Act</w:t>
      </w:r>
      <w:r w:rsidRPr="00535EDB">
        <w:rPr>
          <w:rFonts w:ascii="Arial" w:hAnsi="Arial" w:cs="Arial"/>
          <w:sz w:val="20"/>
          <w:szCs w:val="20"/>
        </w:rPr>
        <w:t xml:space="preserve"> means the Workplace Relations Act 1996.</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Taxable Amount</w:t>
      </w:r>
    </w:p>
    <w:p w:rsidR="0033206D" w:rsidRPr="00535EDB" w:rsidRDefault="0033206D" w:rsidP="0033206D">
      <w:pPr>
        <w:numPr>
          <w:ilvl w:val="0"/>
          <w:numId w:val="6"/>
        </w:numPr>
        <w:tabs>
          <w:tab w:val="clear" w:pos="720"/>
          <w:tab w:val="num" w:pos="1440"/>
        </w:tabs>
        <w:ind w:left="1440"/>
        <w:rPr>
          <w:rFonts w:ascii="Arial" w:hAnsi="Arial" w:cs="Arial"/>
          <w:sz w:val="20"/>
          <w:szCs w:val="20"/>
        </w:rPr>
      </w:pPr>
      <w:r w:rsidRPr="00535EDB">
        <w:rPr>
          <w:rFonts w:ascii="Arial" w:hAnsi="Arial" w:cs="Arial"/>
          <w:sz w:val="20"/>
          <w:szCs w:val="20"/>
        </w:rPr>
        <w:t>Taxable Amount is based upon the earnings base of an employee where</w:t>
      </w:r>
    </w:p>
    <w:p w:rsidR="0033206D" w:rsidRPr="00535EDB" w:rsidRDefault="0033206D" w:rsidP="0033206D">
      <w:pPr>
        <w:numPr>
          <w:ilvl w:val="0"/>
          <w:numId w:val="7"/>
        </w:numPr>
        <w:tabs>
          <w:tab w:val="clear" w:pos="1080"/>
          <w:tab w:val="num" w:pos="1800"/>
        </w:tabs>
        <w:ind w:left="1800"/>
        <w:rPr>
          <w:rFonts w:ascii="Arial" w:hAnsi="Arial" w:cs="Arial"/>
          <w:sz w:val="20"/>
          <w:szCs w:val="20"/>
        </w:rPr>
      </w:pPr>
      <w:r w:rsidRPr="00535EDB">
        <w:rPr>
          <w:rFonts w:ascii="Arial" w:hAnsi="Arial" w:cs="Arial"/>
          <w:sz w:val="20"/>
          <w:szCs w:val="20"/>
        </w:rPr>
        <w:t>the employee’s contract for employment was entered into otherwise than prescribed in The Act; or</w:t>
      </w:r>
    </w:p>
    <w:p w:rsidR="0033206D" w:rsidRPr="00535EDB" w:rsidRDefault="0033206D" w:rsidP="0033206D">
      <w:pPr>
        <w:numPr>
          <w:ilvl w:val="0"/>
          <w:numId w:val="7"/>
        </w:numPr>
        <w:tabs>
          <w:tab w:val="clear" w:pos="1080"/>
          <w:tab w:val="num" w:pos="1800"/>
        </w:tabs>
        <w:ind w:left="1800"/>
        <w:rPr>
          <w:rFonts w:ascii="Arial" w:hAnsi="Arial" w:cs="Arial"/>
          <w:sz w:val="20"/>
          <w:szCs w:val="20"/>
        </w:rPr>
      </w:pPr>
      <w:r w:rsidRPr="00535EDB">
        <w:rPr>
          <w:rFonts w:ascii="Arial" w:hAnsi="Arial" w:cs="Arial"/>
          <w:sz w:val="20"/>
          <w:szCs w:val="20"/>
        </w:rPr>
        <w:t>The employee’s contract for employment comprises matters prohibited by The Act or matters less than the prescribed minimum set by the Act.</w:t>
      </w:r>
    </w:p>
    <w:p w:rsidR="0033206D" w:rsidRPr="00535EDB" w:rsidRDefault="0033206D" w:rsidP="0033206D">
      <w:pPr>
        <w:ind w:left="1080"/>
        <w:rPr>
          <w:rFonts w:ascii="Arial" w:hAnsi="Arial" w:cs="Arial"/>
          <w:sz w:val="20"/>
          <w:szCs w:val="20"/>
        </w:rPr>
      </w:pPr>
    </w:p>
    <w:p w:rsidR="0033206D" w:rsidRPr="00535EDB" w:rsidRDefault="0033206D" w:rsidP="0033206D">
      <w:pPr>
        <w:numPr>
          <w:ilvl w:val="0"/>
          <w:numId w:val="6"/>
        </w:numPr>
        <w:tabs>
          <w:tab w:val="clear" w:pos="720"/>
          <w:tab w:val="num" w:pos="1440"/>
        </w:tabs>
        <w:ind w:left="1440"/>
        <w:rPr>
          <w:rFonts w:ascii="Arial" w:hAnsi="Arial" w:cs="Arial"/>
          <w:sz w:val="20"/>
          <w:szCs w:val="20"/>
        </w:rPr>
      </w:pPr>
      <w:r w:rsidRPr="00535EDB">
        <w:rPr>
          <w:rFonts w:ascii="Arial" w:hAnsi="Arial" w:cs="Arial"/>
          <w:sz w:val="20"/>
          <w:szCs w:val="20"/>
        </w:rPr>
        <w:t xml:space="preserve"> Where because neither (</w:t>
      </w:r>
      <w:proofErr w:type="spellStart"/>
      <w:r w:rsidRPr="00535EDB">
        <w:rPr>
          <w:rFonts w:ascii="Arial" w:hAnsi="Arial" w:cs="Arial"/>
          <w:sz w:val="20"/>
          <w:szCs w:val="20"/>
        </w:rPr>
        <w:t>i</w:t>
      </w:r>
      <w:proofErr w:type="spellEnd"/>
      <w:r w:rsidRPr="00535EDB">
        <w:rPr>
          <w:rFonts w:ascii="Arial" w:hAnsi="Arial" w:cs="Arial"/>
          <w:sz w:val="20"/>
          <w:szCs w:val="20"/>
        </w:rPr>
        <w:t>) or (ii) of subsection (1) of this section occur the taxable amount shall be zero.</w:t>
      </w:r>
    </w:p>
    <w:p w:rsidR="0033206D" w:rsidRPr="00535EDB" w:rsidRDefault="0033206D" w:rsidP="0033206D">
      <w:pPr>
        <w:ind w:left="1080"/>
        <w:rPr>
          <w:rFonts w:ascii="Arial" w:hAnsi="Arial" w:cs="Arial"/>
          <w:sz w:val="20"/>
          <w:szCs w:val="20"/>
        </w:rPr>
      </w:pPr>
    </w:p>
    <w:p w:rsidR="0033206D" w:rsidRPr="00535EDB" w:rsidRDefault="0033206D" w:rsidP="0033206D">
      <w:pPr>
        <w:numPr>
          <w:ilvl w:val="0"/>
          <w:numId w:val="3"/>
        </w:numPr>
        <w:rPr>
          <w:rFonts w:ascii="Arial" w:hAnsi="Arial" w:cs="Arial"/>
          <w:sz w:val="20"/>
          <w:szCs w:val="20"/>
        </w:rPr>
      </w:pPr>
      <w:r w:rsidRPr="00535EDB">
        <w:rPr>
          <w:rFonts w:ascii="Arial" w:hAnsi="Arial" w:cs="Arial"/>
          <w:b/>
          <w:sz w:val="20"/>
          <w:szCs w:val="20"/>
        </w:rPr>
        <w:t>Aggregate Chargeable Levy</w:t>
      </w:r>
      <w:r w:rsidRPr="00535EDB">
        <w:rPr>
          <w:rFonts w:ascii="Arial" w:hAnsi="Arial" w:cs="Arial"/>
          <w:sz w:val="20"/>
          <w:szCs w:val="20"/>
        </w:rPr>
        <w:t xml:space="preserve"> is the aggregate of all taxable amounts arising to an employer over the course of an income year.</w:t>
      </w:r>
    </w:p>
    <w:p w:rsidR="0033206D" w:rsidRPr="00535EDB" w:rsidRDefault="0033206D" w:rsidP="0033206D">
      <w:pPr>
        <w:ind w:left="360"/>
        <w:rPr>
          <w:rFonts w:ascii="Arial" w:hAnsi="Arial" w:cs="Arial"/>
          <w:sz w:val="20"/>
          <w:szCs w:val="20"/>
        </w:rPr>
      </w:pPr>
    </w:p>
    <w:p w:rsidR="0033206D" w:rsidRPr="00535EDB" w:rsidRDefault="0033206D" w:rsidP="0033206D">
      <w:pPr>
        <w:ind w:left="360"/>
        <w:rPr>
          <w:rFonts w:ascii="Arial" w:hAnsi="Arial" w:cs="Arial"/>
          <w:b/>
          <w:sz w:val="20"/>
          <w:szCs w:val="20"/>
        </w:rPr>
      </w:pPr>
      <w:r w:rsidRPr="00535EDB">
        <w:rPr>
          <w:rFonts w:ascii="Arial" w:hAnsi="Arial" w:cs="Arial"/>
          <w:b/>
          <w:sz w:val="20"/>
          <w:szCs w:val="20"/>
        </w:rPr>
        <w:t>Part 3</w:t>
      </w:r>
      <w:r w:rsidRPr="00535EDB">
        <w:rPr>
          <w:rFonts w:ascii="Arial" w:hAnsi="Arial" w:cs="Arial"/>
          <w:b/>
          <w:sz w:val="20"/>
          <w:szCs w:val="20"/>
        </w:rPr>
        <w:tab/>
        <w:t>Governing Authority</w:t>
      </w:r>
    </w:p>
    <w:p w:rsidR="0033206D" w:rsidRPr="00535EDB" w:rsidRDefault="0033206D" w:rsidP="0033206D">
      <w:pPr>
        <w:ind w:left="360"/>
        <w:rPr>
          <w:rFonts w:ascii="Arial" w:hAnsi="Arial" w:cs="Arial"/>
          <w:b/>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Responsible Authority</w:t>
      </w:r>
    </w:p>
    <w:p w:rsidR="0033206D" w:rsidRPr="00535EDB" w:rsidRDefault="0033206D" w:rsidP="0033206D">
      <w:pPr>
        <w:ind w:left="360"/>
        <w:rPr>
          <w:rFonts w:ascii="Arial" w:hAnsi="Arial" w:cs="Arial"/>
          <w:sz w:val="20"/>
          <w:szCs w:val="20"/>
        </w:rPr>
      </w:pPr>
      <w:r w:rsidRPr="00535EDB">
        <w:rPr>
          <w:rFonts w:ascii="Arial" w:hAnsi="Arial" w:cs="Arial"/>
          <w:sz w:val="20"/>
          <w:szCs w:val="20"/>
        </w:rPr>
        <w:t>The Commissioner of Tax has the general administration of this Act.</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Functions</w:t>
      </w:r>
    </w:p>
    <w:p w:rsidR="0033206D" w:rsidRPr="00535EDB" w:rsidRDefault="0033206D" w:rsidP="0033206D">
      <w:pPr>
        <w:ind w:left="720"/>
        <w:rPr>
          <w:rFonts w:ascii="Arial" w:hAnsi="Arial" w:cs="Arial"/>
          <w:sz w:val="20"/>
          <w:szCs w:val="20"/>
        </w:rPr>
      </w:pPr>
      <w:r w:rsidRPr="00535EDB">
        <w:rPr>
          <w:rFonts w:ascii="Arial" w:hAnsi="Arial" w:cs="Arial"/>
          <w:sz w:val="20"/>
          <w:szCs w:val="20"/>
        </w:rPr>
        <w:t>The functions of the responsible authority are:</w:t>
      </w:r>
    </w:p>
    <w:p w:rsidR="0033206D" w:rsidRPr="00535EDB" w:rsidRDefault="0033206D" w:rsidP="0033206D">
      <w:pPr>
        <w:numPr>
          <w:ilvl w:val="0"/>
          <w:numId w:val="8"/>
        </w:numPr>
        <w:tabs>
          <w:tab w:val="clear" w:pos="1080"/>
          <w:tab w:val="num" w:pos="1440"/>
        </w:tabs>
        <w:ind w:left="1440"/>
        <w:rPr>
          <w:rFonts w:ascii="Arial" w:hAnsi="Arial" w:cs="Arial"/>
          <w:sz w:val="20"/>
          <w:szCs w:val="20"/>
        </w:rPr>
      </w:pPr>
      <w:r w:rsidRPr="00535EDB">
        <w:rPr>
          <w:rFonts w:ascii="Arial" w:hAnsi="Arial" w:cs="Arial"/>
          <w:sz w:val="20"/>
          <w:szCs w:val="20"/>
        </w:rPr>
        <w:t>education of employers of their obligations under this Act</w:t>
      </w:r>
    </w:p>
    <w:p w:rsidR="0033206D" w:rsidRPr="00535EDB" w:rsidRDefault="0033206D" w:rsidP="0033206D">
      <w:pPr>
        <w:numPr>
          <w:ilvl w:val="0"/>
          <w:numId w:val="8"/>
        </w:numPr>
        <w:tabs>
          <w:tab w:val="clear" w:pos="1080"/>
          <w:tab w:val="num" w:pos="1440"/>
        </w:tabs>
        <w:ind w:left="1440"/>
        <w:rPr>
          <w:rFonts w:ascii="Arial" w:hAnsi="Arial" w:cs="Arial"/>
          <w:sz w:val="20"/>
          <w:szCs w:val="20"/>
        </w:rPr>
      </w:pPr>
      <w:r w:rsidRPr="00535EDB">
        <w:rPr>
          <w:rFonts w:ascii="Arial" w:hAnsi="Arial" w:cs="Arial"/>
          <w:sz w:val="20"/>
          <w:szCs w:val="20"/>
        </w:rPr>
        <w:t>collection of the levy imposed by this Act</w:t>
      </w:r>
    </w:p>
    <w:p w:rsidR="0033206D" w:rsidRPr="00535EDB" w:rsidRDefault="0033206D" w:rsidP="0033206D">
      <w:pPr>
        <w:numPr>
          <w:ilvl w:val="0"/>
          <w:numId w:val="8"/>
        </w:numPr>
        <w:tabs>
          <w:tab w:val="clear" w:pos="1080"/>
          <w:tab w:val="num" w:pos="1440"/>
        </w:tabs>
        <w:ind w:left="1440"/>
        <w:rPr>
          <w:rFonts w:ascii="Arial" w:hAnsi="Arial" w:cs="Arial"/>
          <w:sz w:val="20"/>
          <w:szCs w:val="20"/>
        </w:rPr>
      </w:pPr>
      <w:r w:rsidRPr="00535EDB">
        <w:rPr>
          <w:rFonts w:ascii="Arial" w:hAnsi="Arial" w:cs="Arial"/>
          <w:sz w:val="20"/>
          <w:szCs w:val="20"/>
        </w:rPr>
        <w:t>prosecutions authorized by this Act</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Powers</w:t>
      </w:r>
    </w:p>
    <w:p w:rsidR="0033206D" w:rsidRPr="00535EDB" w:rsidRDefault="0033206D" w:rsidP="0033206D">
      <w:pPr>
        <w:ind w:left="360"/>
        <w:rPr>
          <w:rFonts w:ascii="Arial" w:hAnsi="Arial" w:cs="Arial"/>
          <w:sz w:val="20"/>
          <w:szCs w:val="20"/>
        </w:rPr>
      </w:pPr>
      <w:r w:rsidRPr="00535EDB">
        <w:rPr>
          <w:rFonts w:ascii="Arial" w:hAnsi="Arial" w:cs="Arial"/>
          <w:sz w:val="20"/>
          <w:szCs w:val="20"/>
        </w:rPr>
        <w:t>The responsible authority will have all those powers bestowed upon it under the Taxation Administration Act 1953 necessary for collection of the levy.</w:t>
      </w:r>
    </w:p>
    <w:p w:rsidR="0033206D" w:rsidRPr="00535EDB" w:rsidRDefault="0033206D" w:rsidP="0033206D">
      <w:pPr>
        <w:ind w:left="360"/>
        <w:rPr>
          <w:rFonts w:ascii="Arial" w:hAnsi="Arial" w:cs="Arial"/>
          <w:sz w:val="20"/>
          <w:szCs w:val="20"/>
        </w:rPr>
      </w:pPr>
    </w:p>
    <w:p w:rsidR="0033206D" w:rsidRPr="00535EDB" w:rsidRDefault="0033206D" w:rsidP="0033206D">
      <w:pPr>
        <w:ind w:left="360"/>
        <w:rPr>
          <w:rFonts w:ascii="Arial" w:hAnsi="Arial" w:cs="Arial"/>
          <w:b/>
          <w:sz w:val="20"/>
          <w:szCs w:val="20"/>
        </w:rPr>
      </w:pPr>
      <w:r w:rsidRPr="00535EDB">
        <w:rPr>
          <w:rFonts w:ascii="Arial" w:hAnsi="Arial" w:cs="Arial"/>
          <w:b/>
          <w:sz w:val="20"/>
          <w:szCs w:val="20"/>
        </w:rPr>
        <w:t>Part 4</w:t>
      </w:r>
      <w:r w:rsidRPr="00535EDB">
        <w:rPr>
          <w:rFonts w:ascii="Arial" w:hAnsi="Arial" w:cs="Arial"/>
          <w:b/>
          <w:sz w:val="20"/>
          <w:szCs w:val="20"/>
        </w:rPr>
        <w:tab/>
        <w:t>Liability</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Levy</w:t>
      </w:r>
    </w:p>
    <w:p w:rsidR="0033206D" w:rsidRPr="00535EDB" w:rsidRDefault="0033206D" w:rsidP="0033206D">
      <w:pPr>
        <w:rPr>
          <w:rFonts w:ascii="Arial" w:hAnsi="Arial" w:cs="Arial"/>
          <w:sz w:val="20"/>
          <w:szCs w:val="20"/>
        </w:rPr>
      </w:pPr>
      <w:r w:rsidRPr="00535EDB">
        <w:rPr>
          <w:rFonts w:ascii="Arial" w:hAnsi="Arial" w:cs="Arial"/>
          <w:sz w:val="20"/>
          <w:szCs w:val="20"/>
        </w:rPr>
        <w:t>The levy shall be payable by all employers at the rate of 12.5% on the taxable amount.</w:t>
      </w:r>
    </w:p>
    <w:p w:rsidR="0033206D" w:rsidRPr="00535EDB" w:rsidRDefault="0033206D" w:rsidP="0033206D">
      <w:pPr>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Payment of Levy</w:t>
      </w:r>
    </w:p>
    <w:p w:rsidR="0033206D" w:rsidRPr="00535EDB" w:rsidRDefault="0033206D" w:rsidP="0033206D">
      <w:pPr>
        <w:ind w:left="360"/>
        <w:rPr>
          <w:rFonts w:ascii="Arial" w:hAnsi="Arial" w:cs="Arial"/>
          <w:sz w:val="20"/>
          <w:szCs w:val="20"/>
        </w:rPr>
      </w:pPr>
      <w:r w:rsidRPr="00535EDB">
        <w:rPr>
          <w:rFonts w:ascii="Arial" w:hAnsi="Arial" w:cs="Arial"/>
          <w:sz w:val="20"/>
          <w:szCs w:val="20"/>
        </w:rPr>
        <w:t>The aggregate chargeable levy is payable 60 days after the close of income each year.</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Act excludes some State laws</w:t>
      </w:r>
    </w:p>
    <w:p w:rsidR="0033206D" w:rsidRPr="00535EDB" w:rsidRDefault="0033206D" w:rsidP="0033206D">
      <w:pPr>
        <w:ind w:left="360"/>
        <w:rPr>
          <w:rFonts w:ascii="Arial" w:hAnsi="Arial" w:cs="Arial"/>
          <w:sz w:val="20"/>
          <w:szCs w:val="20"/>
        </w:rPr>
      </w:pPr>
      <w:r w:rsidRPr="00535EDB">
        <w:rPr>
          <w:rFonts w:ascii="Arial" w:hAnsi="Arial" w:cs="Arial"/>
          <w:sz w:val="20"/>
          <w:szCs w:val="20"/>
        </w:rPr>
        <w:t>This Act is intended to apply to the exclusion of the laws of a State to the extent that a law of a State impacts on the taxable amount of an employer.</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Exemptions</w:t>
      </w:r>
    </w:p>
    <w:p w:rsidR="0033206D" w:rsidRPr="00535EDB" w:rsidRDefault="0033206D" w:rsidP="0033206D">
      <w:pPr>
        <w:ind w:left="360"/>
        <w:rPr>
          <w:rFonts w:ascii="Arial" w:hAnsi="Arial" w:cs="Arial"/>
          <w:sz w:val="20"/>
          <w:szCs w:val="20"/>
        </w:rPr>
      </w:pPr>
      <w:r w:rsidRPr="00535EDB">
        <w:rPr>
          <w:rFonts w:ascii="Arial" w:hAnsi="Arial" w:cs="Arial"/>
          <w:sz w:val="20"/>
          <w:szCs w:val="20"/>
        </w:rPr>
        <w:lastRenderedPageBreak/>
        <w:t>Those employment circumstances exempt from the operation of The Act are exempt from the levy imposed by this Act.</w:t>
      </w:r>
    </w:p>
    <w:p w:rsidR="0033206D" w:rsidRPr="00535EDB" w:rsidRDefault="0033206D" w:rsidP="0033206D">
      <w:pPr>
        <w:ind w:left="360"/>
        <w:rPr>
          <w:rFonts w:ascii="Arial" w:hAnsi="Arial" w:cs="Arial"/>
          <w:sz w:val="20"/>
          <w:szCs w:val="20"/>
        </w:rPr>
      </w:pPr>
    </w:p>
    <w:p w:rsidR="0033206D" w:rsidRPr="00535EDB" w:rsidRDefault="0033206D" w:rsidP="0033206D">
      <w:pPr>
        <w:ind w:left="360"/>
        <w:rPr>
          <w:rFonts w:ascii="Arial" w:hAnsi="Arial" w:cs="Arial"/>
          <w:b/>
          <w:sz w:val="20"/>
          <w:szCs w:val="20"/>
        </w:rPr>
      </w:pPr>
      <w:r w:rsidRPr="00535EDB">
        <w:rPr>
          <w:rFonts w:ascii="Arial" w:hAnsi="Arial" w:cs="Arial"/>
          <w:b/>
          <w:sz w:val="20"/>
          <w:szCs w:val="20"/>
        </w:rPr>
        <w:t>Part 5</w:t>
      </w:r>
      <w:r w:rsidRPr="00535EDB">
        <w:rPr>
          <w:rFonts w:ascii="Arial" w:hAnsi="Arial" w:cs="Arial"/>
          <w:b/>
          <w:sz w:val="20"/>
          <w:szCs w:val="20"/>
        </w:rPr>
        <w:tab/>
        <w:t>Collection of levy</w:t>
      </w:r>
    </w:p>
    <w:p w:rsidR="0033206D" w:rsidRPr="00535EDB" w:rsidRDefault="0033206D" w:rsidP="0033206D">
      <w:pPr>
        <w:ind w:left="360"/>
        <w:rPr>
          <w:rFonts w:ascii="Arial" w:hAnsi="Arial" w:cs="Arial"/>
          <w:sz w:val="20"/>
          <w:szCs w:val="20"/>
        </w:rPr>
      </w:pP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Returns</w:t>
      </w:r>
    </w:p>
    <w:p w:rsidR="0033206D" w:rsidRPr="00535EDB" w:rsidRDefault="0033206D" w:rsidP="0033206D">
      <w:pPr>
        <w:numPr>
          <w:ilvl w:val="0"/>
          <w:numId w:val="9"/>
        </w:numPr>
        <w:rPr>
          <w:rFonts w:ascii="Arial" w:hAnsi="Arial" w:cs="Arial"/>
          <w:sz w:val="20"/>
          <w:szCs w:val="20"/>
        </w:rPr>
      </w:pPr>
      <w:r w:rsidRPr="00535EDB">
        <w:rPr>
          <w:rFonts w:ascii="Arial" w:hAnsi="Arial" w:cs="Arial"/>
          <w:sz w:val="20"/>
          <w:szCs w:val="20"/>
        </w:rPr>
        <w:t>A person who is liable to pay levy must lodge a return with the Commissioner within 60 days after the end of the income year.</w:t>
      </w:r>
    </w:p>
    <w:p w:rsidR="0033206D" w:rsidRPr="00535EDB" w:rsidRDefault="0033206D" w:rsidP="0033206D">
      <w:pPr>
        <w:numPr>
          <w:ilvl w:val="0"/>
          <w:numId w:val="9"/>
        </w:numPr>
        <w:rPr>
          <w:rFonts w:ascii="Arial" w:hAnsi="Arial" w:cs="Arial"/>
          <w:sz w:val="20"/>
          <w:szCs w:val="20"/>
        </w:rPr>
      </w:pPr>
      <w:r w:rsidRPr="00535EDB">
        <w:rPr>
          <w:rFonts w:ascii="Arial" w:hAnsi="Arial" w:cs="Arial"/>
          <w:sz w:val="20"/>
          <w:szCs w:val="20"/>
        </w:rPr>
        <w:t>The return must be in a form approved by the Commissioner and must contain the information required by the form.</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Penalty for late payment</w:t>
      </w:r>
    </w:p>
    <w:p w:rsidR="0033206D" w:rsidRPr="00535EDB" w:rsidRDefault="0033206D" w:rsidP="0033206D">
      <w:pPr>
        <w:numPr>
          <w:ilvl w:val="0"/>
          <w:numId w:val="10"/>
        </w:numPr>
        <w:rPr>
          <w:rFonts w:ascii="Arial" w:hAnsi="Arial" w:cs="Arial"/>
          <w:sz w:val="20"/>
          <w:szCs w:val="20"/>
        </w:rPr>
      </w:pPr>
      <w:r w:rsidRPr="00535EDB">
        <w:rPr>
          <w:rFonts w:ascii="Arial" w:hAnsi="Arial" w:cs="Arial"/>
          <w:sz w:val="20"/>
          <w:szCs w:val="20"/>
        </w:rPr>
        <w:t>if any levy remains unpaid after the time when it is due for payment, an additional amount is payable to the Commonwealth by way of penalty, calculated at the rate of 20% per annum on amount of the levy from time to time remaining unpaid, to be computed from the day on which the levy became due for payment.</w:t>
      </w:r>
    </w:p>
    <w:p w:rsidR="0033206D" w:rsidRPr="00535EDB" w:rsidRDefault="0033206D" w:rsidP="0033206D">
      <w:pPr>
        <w:numPr>
          <w:ilvl w:val="0"/>
          <w:numId w:val="10"/>
        </w:numPr>
        <w:rPr>
          <w:rFonts w:ascii="Arial" w:hAnsi="Arial" w:cs="Arial"/>
          <w:sz w:val="20"/>
          <w:szCs w:val="20"/>
        </w:rPr>
      </w:pPr>
      <w:r w:rsidRPr="00535EDB">
        <w:rPr>
          <w:rFonts w:ascii="Arial" w:hAnsi="Arial" w:cs="Arial"/>
          <w:sz w:val="20"/>
          <w:szCs w:val="20"/>
        </w:rPr>
        <w:t>Late payment penalty in respect of unpaid levy is payable by the person or persons who are liable to pay the unpaid levy.</w:t>
      </w:r>
    </w:p>
    <w:p w:rsidR="0033206D" w:rsidRPr="00535EDB" w:rsidRDefault="0033206D" w:rsidP="0033206D">
      <w:pPr>
        <w:numPr>
          <w:ilvl w:val="0"/>
          <w:numId w:val="10"/>
        </w:numPr>
        <w:rPr>
          <w:rFonts w:ascii="Arial" w:hAnsi="Arial" w:cs="Arial"/>
          <w:sz w:val="20"/>
          <w:szCs w:val="20"/>
        </w:rPr>
      </w:pPr>
      <w:r w:rsidRPr="00535EDB">
        <w:rPr>
          <w:rFonts w:ascii="Arial" w:hAnsi="Arial" w:cs="Arial"/>
          <w:sz w:val="20"/>
          <w:szCs w:val="20"/>
        </w:rPr>
        <w:t>The Commissioner may remit the whole or part of an amount of late payment penalty, if the Commissioner considers that there are good reasons for doing so.</w:t>
      </w:r>
    </w:p>
    <w:p w:rsidR="0033206D" w:rsidRPr="00535EDB" w:rsidRDefault="0033206D" w:rsidP="0033206D">
      <w:pPr>
        <w:numPr>
          <w:ilvl w:val="0"/>
          <w:numId w:val="10"/>
        </w:numPr>
        <w:rPr>
          <w:rFonts w:ascii="Arial" w:hAnsi="Arial" w:cs="Arial"/>
          <w:sz w:val="20"/>
          <w:szCs w:val="20"/>
        </w:rPr>
      </w:pPr>
      <w:r w:rsidRPr="00535EDB">
        <w:rPr>
          <w:rFonts w:ascii="Arial" w:hAnsi="Arial" w:cs="Arial"/>
          <w:sz w:val="20"/>
          <w:szCs w:val="20"/>
        </w:rPr>
        <w:t>Applications may be made to the Administrative Appeals Tribunal to review of a decision of the Commissioner not to remit, or to remit only part, of an amount of late payment penalty.</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Recovery of levy and penalty</w:t>
      </w:r>
    </w:p>
    <w:p w:rsidR="0033206D" w:rsidRPr="00535EDB" w:rsidRDefault="0033206D" w:rsidP="0033206D">
      <w:pPr>
        <w:numPr>
          <w:ilvl w:val="0"/>
          <w:numId w:val="11"/>
        </w:numPr>
        <w:tabs>
          <w:tab w:val="clear" w:pos="720"/>
          <w:tab w:val="num" w:pos="1440"/>
        </w:tabs>
        <w:ind w:left="1440"/>
        <w:rPr>
          <w:rFonts w:ascii="Arial" w:hAnsi="Arial" w:cs="Arial"/>
          <w:sz w:val="20"/>
          <w:szCs w:val="20"/>
        </w:rPr>
      </w:pPr>
      <w:r w:rsidRPr="00535EDB">
        <w:rPr>
          <w:rFonts w:ascii="Arial" w:hAnsi="Arial" w:cs="Arial"/>
          <w:sz w:val="20"/>
          <w:szCs w:val="20"/>
        </w:rPr>
        <w:t>the following amounts may be recovered by the Commonwealth as debts due to the Commonwealth:</w:t>
      </w:r>
    </w:p>
    <w:p w:rsidR="0033206D" w:rsidRPr="00535EDB" w:rsidRDefault="0033206D" w:rsidP="0033206D">
      <w:pPr>
        <w:numPr>
          <w:ilvl w:val="0"/>
          <w:numId w:val="12"/>
        </w:numPr>
        <w:tabs>
          <w:tab w:val="clear" w:pos="720"/>
          <w:tab w:val="num" w:pos="1440"/>
        </w:tabs>
        <w:ind w:left="1440"/>
        <w:rPr>
          <w:rFonts w:ascii="Arial" w:hAnsi="Arial" w:cs="Arial"/>
          <w:sz w:val="20"/>
          <w:szCs w:val="20"/>
        </w:rPr>
      </w:pPr>
      <w:r w:rsidRPr="00535EDB">
        <w:rPr>
          <w:rFonts w:ascii="Arial" w:hAnsi="Arial" w:cs="Arial"/>
          <w:sz w:val="20"/>
          <w:szCs w:val="20"/>
        </w:rPr>
        <w:t>levy that has become due for payment;</w:t>
      </w:r>
    </w:p>
    <w:p w:rsidR="0033206D" w:rsidRPr="00535EDB" w:rsidRDefault="0033206D" w:rsidP="0033206D">
      <w:pPr>
        <w:numPr>
          <w:ilvl w:val="0"/>
          <w:numId w:val="12"/>
        </w:numPr>
        <w:tabs>
          <w:tab w:val="clear" w:pos="720"/>
          <w:tab w:val="num" w:pos="1440"/>
        </w:tabs>
        <w:ind w:left="1440"/>
        <w:rPr>
          <w:rFonts w:ascii="Arial" w:hAnsi="Arial" w:cs="Arial"/>
          <w:sz w:val="20"/>
          <w:szCs w:val="20"/>
        </w:rPr>
      </w:pPr>
      <w:proofErr w:type="gramStart"/>
      <w:r w:rsidRPr="00535EDB">
        <w:rPr>
          <w:rFonts w:ascii="Arial" w:hAnsi="Arial" w:cs="Arial"/>
          <w:sz w:val="20"/>
          <w:szCs w:val="20"/>
        </w:rPr>
        <w:t>late</w:t>
      </w:r>
      <w:proofErr w:type="gramEnd"/>
      <w:r w:rsidRPr="00535EDB">
        <w:rPr>
          <w:rFonts w:ascii="Arial" w:hAnsi="Arial" w:cs="Arial"/>
          <w:sz w:val="20"/>
          <w:szCs w:val="20"/>
        </w:rPr>
        <w:t xml:space="preserve"> payment penalty.</w:t>
      </w:r>
    </w:p>
    <w:p w:rsidR="0033206D" w:rsidRPr="00535EDB" w:rsidRDefault="0033206D" w:rsidP="0033206D">
      <w:pPr>
        <w:ind w:left="720"/>
        <w:rPr>
          <w:rFonts w:ascii="Arial" w:hAnsi="Arial" w:cs="Arial"/>
          <w:sz w:val="20"/>
          <w:szCs w:val="20"/>
        </w:rPr>
      </w:pPr>
    </w:p>
    <w:p w:rsidR="0033206D" w:rsidRPr="00535EDB" w:rsidRDefault="0033206D" w:rsidP="0033206D">
      <w:pPr>
        <w:numPr>
          <w:ilvl w:val="0"/>
          <w:numId w:val="11"/>
        </w:numPr>
        <w:tabs>
          <w:tab w:val="clear" w:pos="720"/>
          <w:tab w:val="num" w:pos="1440"/>
        </w:tabs>
        <w:ind w:left="1440"/>
        <w:rPr>
          <w:rFonts w:ascii="Arial" w:hAnsi="Arial" w:cs="Arial"/>
          <w:sz w:val="20"/>
          <w:szCs w:val="20"/>
        </w:rPr>
      </w:pPr>
      <w:r w:rsidRPr="00535EDB">
        <w:rPr>
          <w:rFonts w:ascii="Arial" w:hAnsi="Arial" w:cs="Arial"/>
          <w:sz w:val="20"/>
          <w:szCs w:val="20"/>
        </w:rPr>
        <w:t>In the proceedings for recovery of levy, a statement or averment in the complaint, claim or declaration of the plaintiff is prima facie evidence of the matter stated or averred.</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Offences</w:t>
      </w:r>
    </w:p>
    <w:p w:rsidR="0033206D" w:rsidRPr="00535EDB" w:rsidRDefault="0033206D" w:rsidP="0033206D">
      <w:pPr>
        <w:ind w:left="720"/>
        <w:rPr>
          <w:rFonts w:ascii="Arial" w:hAnsi="Arial" w:cs="Arial"/>
          <w:sz w:val="20"/>
          <w:szCs w:val="20"/>
        </w:rPr>
      </w:pPr>
      <w:r w:rsidRPr="00535EDB">
        <w:rPr>
          <w:rFonts w:ascii="Arial" w:hAnsi="Arial" w:cs="Arial"/>
          <w:sz w:val="20"/>
          <w:szCs w:val="20"/>
        </w:rPr>
        <w:t>A person must not:</w:t>
      </w:r>
    </w:p>
    <w:p w:rsidR="0033206D" w:rsidRPr="00535EDB" w:rsidRDefault="0033206D" w:rsidP="0033206D">
      <w:pPr>
        <w:ind w:left="720"/>
        <w:rPr>
          <w:rFonts w:ascii="Arial" w:hAnsi="Arial" w:cs="Arial"/>
          <w:sz w:val="20"/>
          <w:szCs w:val="20"/>
        </w:rPr>
      </w:pPr>
      <w:r w:rsidRPr="00535EDB">
        <w:rPr>
          <w:rFonts w:ascii="Arial" w:hAnsi="Arial" w:cs="Arial"/>
          <w:sz w:val="20"/>
          <w:szCs w:val="20"/>
        </w:rPr>
        <w:t xml:space="preserve">(a) </w:t>
      </w:r>
      <w:proofErr w:type="gramStart"/>
      <w:r w:rsidRPr="00535EDB">
        <w:rPr>
          <w:rFonts w:ascii="Arial" w:hAnsi="Arial" w:cs="Arial"/>
          <w:sz w:val="20"/>
          <w:szCs w:val="20"/>
        </w:rPr>
        <w:t>fail</w:t>
      </w:r>
      <w:proofErr w:type="gramEnd"/>
      <w:r w:rsidRPr="00535EDB">
        <w:rPr>
          <w:rFonts w:ascii="Arial" w:hAnsi="Arial" w:cs="Arial"/>
          <w:sz w:val="20"/>
          <w:szCs w:val="20"/>
        </w:rPr>
        <w:t xml:space="preserve"> to lodge a return as required by section 10; or</w:t>
      </w:r>
    </w:p>
    <w:p w:rsidR="0033206D" w:rsidRPr="00535EDB" w:rsidRDefault="0033206D" w:rsidP="0033206D">
      <w:pPr>
        <w:ind w:left="720"/>
        <w:rPr>
          <w:rFonts w:ascii="Arial" w:hAnsi="Arial" w:cs="Arial"/>
          <w:sz w:val="20"/>
          <w:szCs w:val="20"/>
        </w:rPr>
      </w:pPr>
      <w:r w:rsidRPr="00535EDB">
        <w:rPr>
          <w:rFonts w:ascii="Arial" w:hAnsi="Arial" w:cs="Arial"/>
          <w:sz w:val="20"/>
          <w:szCs w:val="20"/>
        </w:rPr>
        <w:t xml:space="preserve">(b) </w:t>
      </w:r>
      <w:proofErr w:type="gramStart"/>
      <w:r w:rsidRPr="00535EDB">
        <w:rPr>
          <w:rFonts w:ascii="Arial" w:hAnsi="Arial" w:cs="Arial"/>
          <w:sz w:val="20"/>
          <w:szCs w:val="20"/>
        </w:rPr>
        <w:t>provide</w:t>
      </w:r>
      <w:proofErr w:type="gramEnd"/>
      <w:r w:rsidRPr="00535EDB">
        <w:rPr>
          <w:rFonts w:ascii="Arial" w:hAnsi="Arial" w:cs="Arial"/>
          <w:sz w:val="20"/>
          <w:szCs w:val="20"/>
        </w:rPr>
        <w:t xml:space="preserve"> a false or misleading return or information for the purposes of this Act</w:t>
      </w:r>
    </w:p>
    <w:p w:rsidR="0033206D" w:rsidRPr="00535EDB" w:rsidRDefault="0033206D" w:rsidP="0033206D">
      <w:pPr>
        <w:ind w:left="720"/>
        <w:rPr>
          <w:rFonts w:ascii="Arial" w:hAnsi="Arial" w:cs="Arial"/>
          <w:sz w:val="20"/>
          <w:szCs w:val="20"/>
        </w:rPr>
      </w:pPr>
      <w:r w:rsidRPr="00535EDB">
        <w:rPr>
          <w:rFonts w:ascii="Arial" w:hAnsi="Arial" w:cs="Arial"/>
          <w:sz w:val="20"/>
          <w:szCs w:val="20"/>
        </w:rPr>
        <w:t>Penalty: 50 penalty units.</w:t>
      </w:r>
    </w:p>
    <w:p w:rsidR="0033206D" w:rsidRPr="00535EDB" w:rsidRDefault="0033206D" w:rsidP="0033206D">
      <w:pPr>
        <w:ind w:left="360"/>
        <w:rPr>
          <w:rFonts w:ascii="Arial" w:hAnsi="Arial" w:cs="Arial"/>
          <w:b/>
          <w:sz w:val="20"/>
          <w:szCs w:val="20"/>
        </w:rPr>
      </w:pPr>
    </w:p>
    <w:p w:rsidR="0033206D" w:rsidRPr="00535EDB" w:rsidRDefault="0033206D" w:rsidP="0033206D">
      <w:pPr>
        <w:ind w:left="360"/>
        <w:rPr>
          <w:rFonts w:ascii="Arial" w:hAnsi="Arial" w:cs="Arial"/>
          <w:b/>
          <w:sz w:val="20"/>
          <w:szCs w:val="20"/>
        </w:rPr>
      </w:pPr>
      <w:r w:rsidRPr="00535EDB">
        <w:rPr>
          <w:rFonts w:ascii="Arial" w:hAnsi="Arial" w:cs="Arial"/>
          <w:b/>
          <w:sz w:val="20"/>
          <w:szCs w:val="20"/>
        </w:rPr>
        <w:t>Part 6</w:t>
      </w:r>
      <w:r w:rsidRPr="00535EDB">
        <w:rPr>
          <w:rFonts w:ascii="Arial" w:hAnsi="Arial" w:cs="Arial"/>
          <w:b/>
          <w:sz w:val="20"/>
          <w:szCs w:val="20"/>
        </w:rPr>
        <w:tab/>
        <w:t>Miscellaneous</w:t>
      </w:r>
    </w:p>
    <w:p w:rsidR="0033206D" w:rsidRPr="00535EDB" w:rsidRDefault="0033206D" w:rsidP="0033206D">
      <w:pPr>
        <w:ind w:left="360"/>
        <w:rPr>
          <w:rFonts w:ascii="Arial" w:hAnsi="Arial" w:cs="Arial"/>
          <w:sz w:val="20"/>
          <w:szCs w:val="20"/>
        </w:rPr>
      </w:pPr>
    </w:p>
    <w:p w:rsidR="0033206D" w:rsidRPr="00535EDB" w:rsidRDefault="0033206D" w:rsidP="0033206D">
      <w:pPr>
        <w:numPr>
          <w:ilvl w:val="0"/>
          <w:numId w:val="3"/>
        </w:numPr>
        <w:rPr>
          <w:rFonts w:ascii="Arial" w:hAnsi="Arial" w:cs="Arial"/>
          <w:b/>
          <w:sz w:val="20"/>
          <w:szCs w:val="20"/>
        </w:rPr>
      </w:pPr>
      <w:r w:rsidRPr="00535EDB">
        <w:rPr>
          <w:rFonts w:ascii="Arial" w:hAnsi="Arial" w:cs="Arial"/>
          <w:b/>
          <w:sz w:val="20"/>
          <w:szCs w:val="20"/>
        </w:rPr>
        <w:t>Regulations</w:t>
      </w:r>
    </w:p>
    <w:p w:rsidR="0033206D" w:rsidRPr="00535EDB" w:rsidRDefault="0033206D" w:rsidP="0033206D">
      <w:pPr>
        <w:ind w:left="360"/>
        <w:rPr>
          <w:rFonts w:ascii="Arial" w:hAnsi="Arial" w:cs="Arial"/>
          <w:sz w:val="20"/>
          <w:szCs w:val="20"/>
        </w:rPr>
      </w:pPr>
      <w:r w:rsidRPr="00535EDB">
        <w:rPr>
          <w:rFonts w:ascii="Arial" w:hAnsi="Arial" w:cs="Arial"/>
          <w:sz w:val="20"/>
          <w:szCs w:val="20"/>
        </w:rPr>
        <w:t>The Governor General may make regulations prescribing matters:</w:t>
      </w:r>
    </w:p>
    <w:p w:rsidR="0033206D" w:rsidRPr="00535EDB" w:rsidRDefault="0033206D" w:rsidP="0033206D">
      <w:pPr>
        <w:numPr>
          <w:ilvl w:val="0"/>
          <w:numId w:val="13"/>
        </w:numPr>
        <w:rPr>
          <w:rFonts w:ascii="Arial" w:hAnsi="Arial" w:cs="Arial"/>
          <w:sz w:val="20"/>
          <w:szCs w:val="20"/>
        </w:rPr>
      </w:pPr>
      <w:r w:rsidRPr="00535EDB">
        <w:rPr>
          <w:rFonts w:ascii="Arial" w:hAnsi="Arial" w:cs="Arial"/>
          <w:sz w:val="20"/>
          <w:szCs w:val="20"/>
        </w:rPr>
        <w:t>required or permitted by this Act to be prescribed; or</w:t>
      </w:r>
    </w:p>
    <w:p w:rsidR="0033206D" w:rsidRPr="00535EDB" w:rsidRDefault="0033206D" w:rsidP="0033206D">
      <w:pPr>
        <w:numPr>
          <w:ilvl w:val="0"/>
          <w:numId w:val="13"/>
        </w:numPr>
        <w:rPr>
          <w:rFonts w:ascii="Arial" w:hAnsi="Arial" w:cs="Arial"/>
          <w:sz w:val="20"/>
          <w:szCs w:val="20"/>
        </w:rPr>
      </w:pPr>
      <w:proofErr w:type="gramStart"/>
      <w:r w:rsidRPr="00535EDB">
        <w:rPr>
          <w:rFonts w:ascii="Arial" w:hAnsi="Arial" w:cs="Arial"/>
          <w:sz w:val="20"/>
          <w:szCs w:val="20"/>
        </w:rPr>
        <w:t>necessary</w:t>
      </w:r>
      <w:proofErr w:type="gramEnd"/>
      <w:r w:rsidRPr="00535EDB">
        <w:rPr>
          <w:rFonts w:ascii="Arial" w:hAnsi="Arial" w:cs="Arial"/>
          <w:sz w:val="20"/>
          <w:szCs w:val="20"/>
        </w:rPr>
        <w:t xml:space="preserve"> or convenient to be prescribed for carrying out or giving effect to this Act.</w:t>
      </w:r>
    </w:p>
    <w:p w:rsidR="0033206D" w:rsidRPr="00535EDB" w:rsidRDefault="0033206D" w:rsidP="0033206D">
      <w:pPr>
        <w:numPr>
          <w:ilvl w:val="0"/>
          <w:numId w:val="13"/>
        </w:numPr>
        <w:rPr>
          <w:rFonts w:ascii="Arial" w:hAnsi="Arial" w:cs="Arial"/>
          <w:sz w:val="20"/>
          <w:szCs w:val="20"/>
        </w:rPr>
      </w:pPr>
      <w:r w:rsidRPr="00535EDB">
        <w:rPr>
          <w:rFonts w:ascii="Arial" w:hAnsi="Arial" w:cs="Arial"/>
          <w:sz w:val="20"/>
          <w:szCs w:val="20"/>
        </w:rPr>
        <w:t>Prescribing penalties for offences against the regulations by way of fines up to 10 penalty units.</w:t>
      </w:r>
    </w:p>
    <w:p w:rsidR="0033206D" w:rsidRPr="0033206D" w:rsidRDefault="0033206D" w:rsidP="0033206D">
      <w:pPr>
        <w:jc w:val="both"/>
        <w:rPr>
          <w:rFonts w:ascii="Arial" w:hAnsi="Arial" w:cs="Arial"/>
        </w:rPr>
      </w:pPr>
    </w:p>
    <w:sectPr w:rsidR="0033206D" w:rsidRPr="00332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61" w:rsidRDefault="005A0E61" w:rsidP="0033206D">
      <w:r>
        <w:separator/>
      </w:r>
    </w:p>
  </w:endnote>
  <w:endnote w:type="continuationSeparator" w:id="0">
    <w:p w:rsidR="005A0E61" w:rsidRDefault="005A0E61" w:rsidP="0033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61" w:rsidRDefault="005A0E61" w:rsidP="0033206D">
      <w:r>
        <w:separator/>
      </w:r>
    </w:p>
  </w:footnote>
  <w:footnote w:type="continuationSeparator" w:id="0">
    <w:p w:rsidR="005A0E61" w:rsidRDefault="005A0E61" w:rsidP="0033206D">
      <w:r>
        <w:continuationSeparator/>
      </w:r>
    </w:p>
  </w:footnote>
  <w:footnote w:id="1">
    <w:p w:rsidR="0033206D" w:rsidRPr="0033206D" w:rsidRDefault="0033206D" w:rsidP="0033206D">
      <w:pPr>
        <w:pStyle w:val="ListParagraph"/>
        <w:jc w:val="both"/>
        <w:rPr>
          <w:rFonts w:ascii="Arial" w:hAnsi="Arial" w:cs="Arial"/>
          <w:sz w:val="18"/>
          <w:szCs w:val="18"/>
        </w:rPr>
      </w:pPr>
      <w:r w:rsidRPr="0033206D">
        <w:rPr>
          <w:rStyle w:val="FootnoteReference"/>
          <w:sz w:val="18"/>
          <w:szCs w:val="18"/>
        </w:rPr>
        <w:footnoteRef/>
      </w:r>
      <w:r w:rsidRPr="0033206D">
        <w:rPr>
          <w:sz w:val="18"/>
          <w:szCs w:val="18"/>
        </w:rPr>
        <w:t xml:space="preserve"> </w:t>
      </w:r>
      <w:r w:rsidRPr="0033206D">
        <w:rPr>
          <w:rFonts w:ascii="Arial" w:hAnsi="Arial" w:cs="Arial"/>
          <w:sz w:val="18"/>
          <w:szCs w:val="18"/>
        </w:rPr>
        <w:t xml:space="preserve">M Le </w:t>
      </w:r>
      <w:proofErr w:type="spellStart"/>
      <w:r w:rsidRPr="0033206D">
        <w:rPr>
          <w:rFonts w:ascii="Arial" w:hAnsi="Arial" w:cs="Arial"/>
          <w:sz w:val="18"/>
          <w:szCs w:val="18"/>
        </w:rPr>
        <w:t>Brun</w:t>
      </w:r>
      <w:proofErr w:type="spellEnd"/>
      <w:r w:rsidRPr="0033206D">
        <w:rPr>
          <w:rFonts w:ascii="Arial" w:hAnsi="Arial" w:cs="Arial"/>
          <w:sz w:val="18"/>
          <w:szCs w:val="18"/>
        </w:rPr>
        <w:t xml:space="preserve"> and R Johnstone </w:t>
      </w:r>
      <w:proofErr w:type="gramStart"/>
      <w:r w:rsidRPr="0033206D">
        <w:rPr>
          <w:rFonts w:ascii="Arial" w:hAnsi="Arial" w:cs="Arial"/>
          <w:i/>
          <w:iCs/>
          <w:sz w:val="18"/>
          <w:szCs w:val="18"/>
        </w:rPr>
        <w:t>The</w:t>
      </w:r>
      <w:proofErr w:type="gramEnd"/>
      <w:r w:rsidRPr="0033206D">
        <w:rPr>
          <w:rFonts w:ascii="Arial" w:hAnsi="Arial" w:cs="Arial"/>
          <w:i/>
          <w:iCs/>
          <w:sz w:val="18"/>
          <w:szCs w:val="18"/>
        </w:rPr>
        <w:t xml:space="preserve"> Quiet Revolution</w:t>
      </w:r>
      <w:r w:rsidRPr="0033206D">
        <w:rPr>
          <w:rFonts w:ascii="Arial" w:hAnsi="Arial" w:cs="Arial"/>
          <w:sz w:val="18"/>
          <w:szCs w:val="18"/>
        </w:rPr>
        <w:t xml:space="preserve"> (Law Book Company, 1994), 59-61.</w:t>
      </w:r>
    </w:p>
    <w:p w:rsidR="0033206D" w:rsidRPr="0033206D" w:rsidRDefault="0033206D">
      <w:pPr>
        <w:pStyle w:val="FootnoteText"/>
        <w:rPr>
          <w:sz w:val="18"/>
          <w:szCs w:val="18"/>
        </w:rPr>
      </w:pPr>
    </w:p>
  </w:footnote>
  <w:footnote w:id="2">
    <w:p w:rsidR="0033206D" w:rsidRPr="0033206D" w:rsidRDefault="0033206D" w:rsidP="0033206D">
      <w:pPr>
        <w:pStyle w:val="ListParagraph"/>
        <w:jc w:val="both"/>
        <w:rPr>
          <w:rFonts w:ascii="Arial" w:hAnsi="Arial" w:cs="Arial"/>
          <w:sz w:val="18"/>
          <w:szCs w:val="18"/>
        </w:rPr>
      </w:pPr>
      <w:r w:rsidRPr="0033206D">
        <w:rPr>
          <w:rStyle w:val="FootnoteReference"/>
          <w:sz w:val="18"/>
          <w:szCs w:val="18"/>
        </w:rPr>
        <w:footnoteRef/>
      </w:r>
      <w:r w:rsidRPr="0033206D">
        <w:rPr>
          <w:sz w:val="18"/>
          <w:szCs w:val="18"/>
        </w:rPr>
        <w:t xml:space="preserve"> </w:t>
      </w:r>
      <w:r w:rsidRPr="0033206D">
        <w:rPr>
          <w:rFonts w:ascii="Arial" w:hAnsi="Arial" w:cs="Arial"/>
          <w:sz w:val="18"/>
          <w:szCs w:val="18"/>
        </w:rPr>
        <w:t xml:space="preserve">There is a massive literature on this topic.  Two recent examples in Australian legal education </w:t>
      </w:r>
      <w:proofErr w:type="gramStart"/>
      <w:r w:rsidRPr="0033206D">
        <w:rPr>
          <w:rFonts w:ascii="Arial" w:hAnsi="Arial" w:cs="Arial"/>
          <w:sz w:val="18"/>
          <w:szCs w:val="18"/>
        </w:rPr>
        <w:t>are  C</w:t>
      </w:r>
      <w:proofErr w:type="gramEnd"/>
      <w:r w:rsidRPr="0033206D">
        <w:rPr>
          <w:rFonts w:ascii="Arial" w:hAnsi="Arial" w:cs="Arial"/>
          <w:sz w:val="18"/>
          <w:szCs w:val="18"/>
        </w:rPr>
        <w:t xml:space="preserve"> Hart et al “The Real Deal: Using Authentic Assessment to Promote student Engagement in the First and Second Years of a Regional Law Program” (2011) 21 </w:t>
      </w:r>
      <w:r w:rsidRPr="0033206D">
        <w:rPr>
          <w:rFonts w:ascii="Arial" w:hAnsi="Arial" w:cs="Arial"/>
          <w:i/>
          <w:iCs/>
          <w:sz w:val="18"/>
          <w:szCs w:val="18"/>
        </w:rPr>
        <w:t xml:space="preserve">Legal </w:t>
      </w:r>
      <w:proofErr w:type="spellStart"/>
      <w:r w:rsidRPr="0033206D">
        <w:rPr>
          <w:rFonts w:ascii="Arial" w:hAnsi="Arial" w:cs="Arial"/>
          <w:i/>
          <w:iCs/>
          <w:sz w:val="18"/>
          <w:szCs w:val="18"/>
        </w:rPr>
        <w:t>Educ</w:t>
      </w:r>
      <w:proofErr w:type="spellEnd"/>
      <w:r w:rsidRPr="0033206D">
        <w:rPr>
          <w:rFonts w:ascii="Arial" w:hAnsi="Arial" w:cs="Arial"/>
          <w:i/>
          <w:iCs/>
          <w:sz w:val="18"/>
          <w:szCs w:val="18"/>
        </w:rPr>
        <w:t xml:space="preserve"> Rev</w:t>
      </w:r>
      <w:r w:rsidRPr="0033206D">
        <w:rPr>
          <w:rFonts w:ascii="Arial" w:hAnsi="Arial" w:cs="Arial"/>
          <w:sz w:val="18"/>
          <w:szCs w:val="18"/>
        </w:rPr>
        <w:t xml:space="preserve"> 97; L </w:t>
      </w:r>
      <w:proofErr w:type="spellStart"/>
      <w:r w:rsidRPr="0033206D">
        <w:rPr>
          <w:rFonts w:ascii="Arial" w:hAnsi="Arial" w:cs="Arial"/>
          <w:sz w:val="18"/>
          <w:szCs w:val="18"/>
        </w:rPr>
        <w:t>Kam</w:t>
      </w:r>
      <w:proofErr w:type="spellEnd"/>
      <w:r w:rsidRPr="0033206D">
        <w:rPr>
          <w:rFonts w:ascii="Arial" w:hAnsi="Arial" w:cs="Arial"/>
          <w:sz w:val="18"/>
          <w:szCs w:val="18"/>
        </w:rPr>
        <w:t xml:space="preserve"> et al “Get Real! A case study of authentic learning activities in legal education”, (2012) 19, 2 </w:t>
      </w:r>
      <w:r w:rsidRPr="0033206D">
        <w:rPr>
          <w:rFonts w:ascii="Arial" w:hAnsi="Arial" w:cs="Arial"/>
          <w:i/>
          <w:iCs/>
          <w:sz w:val="18"/>
          <w:szCs w:val="18"/>
        </w:rPr>
        <w:t>Murdoch University Law Review</w:t>
      </w:r>
      <w:r w:rsidRPr="0033206D">
        <w:rPr>
          <w:rFonts w:ascii="Arial" w:hAnsi="Arial" w:cs="Arial"/>
          <w:sz w:val="18"/>
          <w:szCs w:val="18"/>
        </w:rPr>
        <w:t>  17</w:t>
      </w:r>
    </w:p>
    <w:p w:rsidR="0033206D" w:rsidRPr="0033206D" w:rsidRDefault="0033206D" w:rsidP="0033206D">
      <w:pPr>
        <w:jc w:val="both"/>
        <w:rPr>
          <w:rFonts w:ascii="Arial" w:hAnsi="Arial" w:cs="Arial"/>
        </w:rPr>
      </w:pPr>
    </w:p>
    <w:p w:rsidR="0033206D" w:rsidRDefault="003320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12F"/>
    <w:multiLevelType w:val="hybridMultilevel"/>
    <w:tmpl w:val="62409998"/>
    <w:lvl w:ilvl="0" w:tplc="78B08D2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FA33CE"/>
    <w:multiLevelType w:val="hybridMultilevel"/>
    <w:tmpl w:val="FE7C6364"/>
    <w:lvl w:ilvl="0" w:tplc="08185C4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4AB1EA9"/>
    <w:multiLevelType w:val="hybridMultilevel"/>
    <w:tmpl w:val="CE2E3086"/>
    <w:lvl w:ilvl="0" w:tplc="72000A9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8022D44"/>
    <w:multiLevelType w:val="hybridMultilevel"/>
    <w:tmpl w:val="7C38DE0C"/>
    <w:lvl w:ilvl="0" w:tplc="F69CB89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9E46915"/>
    <w:multiLevelType w:val="hybridMultilevel"/>
    <w:tmpl w:val="9F52BD12"/>
    <w:lvl w:ilvl="0" w:tplc="B86C9C7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AF68B6"/>
    <w:multiLevelType w:val="hybridMultilevel"/>
    <w:tmpl w:val="01AEACF0"/>
    <w:lvl w:ilvl="0" w:tplc="0409000F">
      <w:start w:val="1"/>
      <w:numFmt w:val="decimal"/>
      <w:lvlText w:val="%1."/>
      <w:lvlJc w:val="left"/>
      <w:pPr>
        <w:tabs>
          <w:tab w:val="num" w:pos="720"/>
        </w:tabs>
        <w:ind w:left="720" w:hanging="360"/>
      </w:pPr>
      <w:rPr>
        <w:rFonts w:hint="default"/>
      </w:rPr>
    </w:lvl>
    <w:lvl w:ilvl="1" w:tplc="1368DF80">
      <w:start w:val="1"/>
      <w:numFmt w:val="upperLetter"/>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8048F"/>
    <w:multiLevelType w:val="hybridMultilevel"/>
    <w:tmpl w:val="4B8EF478"/>
    <w:lvl w:ilvl="0" w:tplc="43F6CB7E">
      <w:numFmt w:val="bullet"/>
      <w:lvlText w:val=""/>
      <w:lvlJc w:val="left"/>
      <w:pPr>
        <w:tabs>
          <w:tab w:val="num" w:pos="1080"/>
        </w:tabs>
        <w:ind w:left="1080" w:hanging="720"/>
      </w:pPr>
      <w:rPr>
        <w:rFonts w:ascii="Wingdings 3" w:eastAsia="Times New Roman" w:hAnsi="Wingdings 3"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D57831"/>
    <w:multiLevelType w:val="hybridMultilevel"/>
    <w:tmpl w:val="08E22F32"/>
    <w:lvl w:ilvl="0" w:tplc="3A7C9DAC">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F64554E"/>
    <w:multiLevelType w:val="hybridMultilevel"/>
    <w:tmpl w:val="3CD8AF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671C771B"/>
    <w:multiLevelType w:val="hybridMultilevel"/>
    <w:tmpl w:val="656EA0AA"/>
    <w:lvl w:ilvl="0" w:tplc="9F22E70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E2315C5"/>
    <w:multiLevelType w:val="hybridMultilevel"/>
    <w:tmpl w:val="988261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F822F15"/>
    <w:multiLevelType w:val="hybridMultilevel"/>
    <w:tmpl w:val="F63ABC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2056877"/>
    <w:multiLevelType w:val="hybridMultilevel"/>
    <w:tmpl w:val="46D4A698"/>
    <w:lvl w:ilvl="0" w:tplc="2D30055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76056483"/>
    <w:multiLevelType w:val="hybridMultilevel"/>
    <w:tmpl w:val="04C4142C"/>
    <w:lvl w:ilvl="0" w:tplc="C332E9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C727C3D"/>
    <w:multiLevelType w:val="hybridMultilevel"/>
    <w:tmpl w:val="A7B2F028"/>
    <w:lvl w:ilvl="0" w:tplc="D28EEE40">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F87AFE22">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F356132"/>
    <w:multiLevelType w:val="hybridMultilevel"/>
    <w:tmpl w:val="731A0816"/>
    <w:lvl w:ilvl="0" w:tplc="2C00F7E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FB527BE"/>
    <w:multiLevelType w:val="hybridMultilevel"/>
    <w:tmpl w:val="B8B6BD06"/>
    <w:lvl w:ilvl="0" w:tplc="02E0CC1C">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
  </w:num>
  <w:num w:numId="5">
    <w:abstractNumId w:val="13"/>
  </w:num>
  <w:num w:numId="6">
    <w:abstractNumId w:val="4"/>
  </w:num>
  <w:num w:numId="7">
    <w:abstractNumId w:val="16"/>
  </w:num>
  <w:num w:numId="8">
    <w:abstractNumId w:val="0"/>
  </w:num>
  <w:num w:numId="9">
    <w:abstractNumId w:val="9"/>
  </w:num>
  <w:num w:numId="10">
    <w:abstractNumId w:val="3"/>
  </w:num>
  <w:num w:numId="11">
    <w:abstractNumId w:val="1"/>
  </w:num>
  <w:num w:numId="12">
    <w:abstractNumId w:val="7"/>
  </w:num>
  <w:num w:numId="13">
    <w:abstractNumId w:val="15"/>
  </w:num>
  <w:num w:numId="14">
    <w:abstractNumId w:val="5"/>
  </w:num>
  <w:num w:numId="15">
    <w:abstractNumId w:val="1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6D"/>
    <w:rsid w:val="00257FE2"/>
    <w:rsid w:val="002A17A3"/>
    <w:rsid w:val="0033206D"/>
    <w:rsid w:val="00535EDB"/>
    <w:rsid w:val="005A0E61"/>
    <w:rsid w:val="00874E80"/>
    <w:rsid w:val="00A95CA1"/>
    <w:rsid w:val="00EA516B"/>
    <w:rsid w:val="00F76110"/>
    <w:rsid w:val="00F9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6D"/>
    <w:pPr>
      <w:ind w:left="720"/>
    </w:pPr>
  </w:style>
  <w:style w:type="paragraph" w:styleId="FootnoteText">
    <w:name w:val="footnote text"/>
    <w:basedOn w:val="Normal"/>
    <w:link w:val="FootnoteTextChar"/>
    <w:uiPriority w:val="99"/>
    <w:semiHidden/>
    <w:unhideWhenUsed/>
    <w:rsid w:val="0033206D"/>
    <w:rPr>
      <w:sz w:val="20"/>
      <w:szCs w:val="20"/>
    </w:rPr>
  </w:style>
  <w:style w:type="character" w:customStyle="1" w:styleId="FootnoteTextChar">
    <w:name w:val="Footnote Text Char"/>
    <w:basedOn w:val="DefaultParagraphFont"/>
    <w:link w:val="FootnoteText"/>
    <w:uiPriority w:val="99"/>
    <w:semiHidden/>
    <w:rsid w:val="0033206D"/>
    <w:rPr>
      <w:rFonts w:ascii="Calibri" w:hAnsi="Calibri" w:cs="Times New Roman"/>
      <w:sz w:val="20"/>
      <w:szCs w:val="20"/>
    </w:rPr>
  </w:style>
  <w:style w:type="character" w:styleId="FootnoteReference">
    <w:name w:val="footnote reference"/>
    <w:basedOn w:val="DefaultParagraphFont"/>
    <w:uiPriority w:val="99"/>
    <w:semiHidden/>
    <w:unhideWhenUsed/>
    <w:rsid w:val="0033206D"/>
    <w:rPr>
      <w:vertAlign w:val="superscript"/>
    </w:rPr>
  </w:style>
  <w:style w:type="paragraph" w:customStyle="1" w:styleId="DocumentHeading">
    <w:name w:val="Document Heading"/>
    <w:basedOn w:val="Normal"/>
    <w:rsid w:val="0033206D"/>
    <w:pPr>
      <w:jc w:val="center"/>
    </w:pPr>
    <w:rPr>
      <w:rFonts w:ascii="Times" w:eastAsia="Times New Roman" w:hAnsi="Times"/>
      <w:b/>
      <w:smallCaps/>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6D"/>
    <w:pPr>
      <w:ind w:left="720"/>
    </w:pPr>
  </w:style>
  <w:style w:type="paragraph" w:styleId="FootnoteText">
    <w:name w:val="footnote text"/>
    <w:basedOn w:val="Normal"/>
    <w:link w:val="FootnoteTextChar"/>
    <w:uiPriority w:val="99"/>
    <w:semiHidden/>
    <w:unhideWhenUsed/>
    <w:rsid w:val="0033206D"/>
    <w:rPr>
      <w:sz w:val="20"/>
      <w:szCs w:val="20"/>
    </w:rPr>
  </w:style>
  <w:style w:type="character" w:customStyle="1" w:styleId="FootnoteTextChar">
    <w:name w:val="Footnote Text Char"/>
    <w:basedOn w:val="DefaultParagraphFont"/>
    <w:link w:val="FootnoteText"/>
    <w:uiPriority w:val="99"/>
    <w:semiHidden/>
    <w:rsid w:val="0033206D"/>
    <w:rPr>
      <w:rFonts w:ascii="Calibri" w:hAnsi="Calibri" w:cs="Times New Roman"/>
      <w:sz w:val="20"/>
      <w:szCs w:val="20"/>
    </w:rPr>
  </w:style>
  <w:style w:type="character" w:styleId="FootnoteReference">
    <w:name w:val="footnote reference"/>
    <w:basedOn w:val="DefaultParagraphFont"/>
    <w:uiPriority w:val="99"/>
    <w:semiHidden/>
    <w:unhideWhenUsed/>
    <w:rsid w:val="0033206D"/>
    <w:rPr>
      <w:vertAlign w:val="superscript"/>
    </w:rPr>
  </w:style>
  <w:style w:type="paragraph" w:customStyle="1" w:styleId="DocumentHeading">
    <w:name w:val="Document Heading"/>
    <w:basedOn w:val="Normal"/>
    <w:rsid w:val="0033206D"/>
    <w:pPr>
      <w:jc w:val="center"/>
    </w:pPr>
    <w:rPr>
      <w:rFonts w:ascii="Times" w:eastAsia="Times New Roman" w:hAnsi="Times"/>
      <w:b/>
      <w:smallCaps/>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007C-6913-4939-BEB0-E77E7C9F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Lindsay</dc:creator>
  <cp:lastModifiedBy>Kate Lindsay</cp:lastModifiedBy>
  <cp:revision>3</cp:revision>
  <dcterms:created xsi:type="dcterms:W3CDTF">2015-02-04T23:14:00Z</dcterms:created>
  <dcterms:modified xsi:type="dcterms:W3CDTF">2015-02-11T03:42:00Z</dcterms:modified>
</cp:coreProperties>
</file>