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98C25" w14:textId="6C9898B7" w:rsidR="007B52BD" w:rsidRPr="00E84BF6" w:rsidRDefault="007B52BD" w:rsidP="00AA48E2">
      <w:pPr>
        <w:shd w:val="clear" w:color="auto" w:fill="FFFFFF"/>
        <w:spacing w:after="360" w:line="240" w:lineRule="auto"/>
        <w:outlineLvl w:val="1"/>
        <w:rPr>
          <w:rFonts w:ascii="Arial" w:eastAsia="Times New Roman" w:hAnsi="Arial" w:cs="Arial"/>
          <w:b/>
          <w:bCs/>
          <w:color w:val="392B7D"/>
          <w:sz w:val="36"/>
          <w:szCs w:val="36"/>
          <w:lang w:eastAsia="en-AU"/>
        </w:rPr>
      </w:pPr>
      <w:r w:rsidRPr="00E84BF6">
        <w:rPr>
          <w:rFonts w:ascii="Arial" w:eastAsia="Times New Roman" w:hAnsi="Arial" w:cs="Arial"/>
          <w:b/>
          <w:bCs/>
          <w:color w:val="392B7D"/>
          <w:sz w:val="36"/>
          <w:szCs w:val="36"/>
          <w:lang w:eastAsia="en-AU"/>
        </w:rPr>
        <w:t xml:space="preserve">Death of a Ghost; or, </w:t>
      </w:r>
      <w:r w:rsidRPr="007E34C0">
        <w:rPr>
          <w:rFonts w:ascii="Arial" w:eastAsia="Times New Roman" w:hAnsi="Arial" w:cs="Arial"/>
          <w:b/>
          <w:bCs/>
          <w:smallCaps/>
          <w:color w:val="392B7D"/>
          <w:sz w:val="38"/>
          <w:szCs w:val="38"/>
          <w:lang w:eastAsia="en-AU"/>
        </w:rPr>
        <w:t>scotus</w:t>
      </w:r>
      <w:r w:rsidRPr="00E84BF6">
        <w:rPr>
          <w:rFonts w:ascii="Arial" w:eastAsia="Times New Roman" w:hAnsi="Arial" w:cs="Arial"/>
          <w:b/>
          <w:bCs/>
          <w:color w:val="392B7D"/>
          <w:sz w:val="36"/>
          <w:szCs w:val="36"/>
          <w:lang w:eastAsia="en-AU"/>
        </w:rPr>
        <w:t xml:space="preserve"> Sans Scalia</w:t>
      </w:r>
    </w:p>
    <w:p w14:paraId="5B023704" w14:textId="77777777" w:rsidR="007B52BD" w:rsidRPr="007E34C0" w:rsidRDefault="00085E96" w:rsidP="00072021">
      <w:pPr>
        <w:spacing w:after="360" w:line="240" w:lineRule="auto"/>
        <w:rPr>
          <w:rFonts w:ascii="Arial" w:hAnsi="Arial" w:cs="Arial"/>
        </w:rPr>
      </w:pPr>
      <w:r>
        <w:rPr>
          <w:rFonts w:ascii="Arial" w:hAnsi="Arial" w:cs="Arial"/>
          <w:noProof/>
          <w:lang w:val="en-US"/>
        </w:rPr>
        <w:drawing>
          <wp:inline distT="0" distB="0" distL="0" distR="0" wp14:anchorId="7F0A76ED" wp14:editId="4F81606D">
            <wp:extent cx="1209083" cy="16315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752" cy="1633829"/>
                    </a:xfrm>
                    <a:prstGeom prst="rect">
                      <a:avLst/>
                    </a:prstGeom>
                  </pic:spPr>
                </pic:pic>
              </a:graphicData>
            </a:graphic>
          </wp:inline>
        </w:drawing>
      </w:r>
      <w:r>
        <w:rPr>
          <w:rFonts w:ascii="Arial" w:hAnsi="Arial" w:cs="Arial"/>
        </w:rPr>
        <w:t xml:space="preserve"> </w:t>
      </w:r>
      <w:r w:rsidR="007B52BD" w:rsidRPr="007E34C0">
        <w:rPr>
          <w:rFonts w:ascii="Arial" w:hAnsi="Arial" w:cs="Arial"/>
        </w:rPr>
        <w:t>By TONY BLACKSHIELD</w:t>
      </w:r>
    </w:p>
    <w:p w14:paraId="7F056A8B" w14:textId="484B3003" w:rsidR="00874BF1" w:rsidRPr="00F61F1B" w:rsidRDefault="009C7806" w:rsidP="00F61F1B">
      <w:pPr>
        <w:spacing w:after="0" w:line="300" w:lineRule="exact"/>
        <w:rPr>
          <w:rFonts w:ascii="Arial" w:hAnsi="Arial" w:cs="Arial"/>
        </w:rPr>
      </w:pPr>
      <w:r w:rsidRPr="00F61F1B">
        <w:rPr>
          <w:rFonts w:ascii="Arial" w:hAnsi="Arial" w:cs="Arial"/>
        </w:rPr>
        <w:t>On 16 March President Bar</w:t>
      </w:r>
      <w:r w:rsidR="00866D71" w:rsidRPr="00F61F1B">
        <w:rPr>
          <w:rFonts w:ascii="Arial" w:hAnsi="Arial" w:cs="Arial"/>
        </w:rPr>
        <w:t xml:space="preserve">ack Obama announced that Justice Merrick Garland, Chief </w:t>
      </w:r>
      <w:r w:rsidR="007D6BCA" w:rsidRPr="00594A8D">
        <w:rPr>
          <w:rFonts w:ascii="Arial" w:hAnsi="Arial" w:cs="Arial"/>
        </w:rPr>
        <w:t>Judge</w:t>
      </w:r>
      <w:r w:rsidR="007D6BCA">
        <w:rPr>
          <w:rFonts w:ascii="Arial" w:hAnsi="Arial" w:cs="Arial"/>
        </w:rPr>
        <w:t xml:space="preserve"> </w:t>
      </w:r>
      <w:r w:rsidR="00866D71" w:rsidRPr="00F61F1B">
        <w:rPr>
          <w:rFonts w:ascii="Arial" w:hAnsi="Arial" w:cs="Arial"/>
        </w:rPr>
        <w:t>of the United States Court of Appeals for the District of Columbia</w:t>
      </w:r>
      <w:r w:rsidR="007D6BCA" w:rsidRPr="007D6BCA">
        <w:rPr>
          <w:rFonts w:ascii="Arial" w:hAnsi="Arial" w:cs="Arial"/>
        </w:rPr>
        <w:t xml:space="preserve"> </w:t>
      </w:r>
      <w:r w:rsidR="007D6BCA">
        <w:rPr>
          <w:rFonts w:ascii="Arial" w:hAnsi="Arial" w:cs="Arial"/>
        </w:rPr>
        <w:t>Circuit</w:t>
      </w:r>
      <w:r w:rsidR="00866D71" w:rsidRPr="00F61F1B">
        <w:rPr>
          <w:rFonts w:ascii="Arial" w:hAnsi="Arial" w:cs="Arial"/>
        </w:rPr>
        <w:t xml:space="preserve">, had been nominated to fill the Supreme Court vacancy </w:t>
      </w:r>
      <w:r w:rsidR="008D65EA" w:rsidRPr="00F61F1B">
        <w:rPr>
          <w:rFonts w:ascii="Arial" w:hAnsi="Arial" w:cs="Arial"/>
        </w:rPr>
        <w:t>left by</w:t>
      </w:r>
      <w:r w:rsidR="00866D71" w:rsidRPr="00F61F1B">
        <w:rPr>
          <w:rFonts w:ascii="Arial" w:hAnsi="Arial" w:cs="Arial"/>
        </w:rPr>
        <w:t xml:space="preserve"> Justice Antonin Scalia</w:t>
      </w:r>
      <w:r w:rsidR="008D65EA" w:rsidRPr="00F61F1B">
        <w:rPr>
          <w:rFonts w:ascii="Arial" w:hAnsi="Arial" w:cs="Arial"/>
        </w:rPr>
        <w:t>, who was found lying dead on the morning of Saturday 13 February (allegedly with a pillow over his head)</w:t>
      </w:r>
      <w:r w:rsidR="00866D71" w:rsidRPr="00F61F1B">
        <w:rPr>
          <w:rFonts w:ascii="Arial" w:hAnsi="Arial" w:cs="Arial"/>
        </w:rPr>
        <w:t>.</w:t>
      </w:r>
    </w:p>
    <w:p w14:paraId="0DD54B63" w14:textId="77777777" w:rsidR="00874BF1" w:rsidRPr="00F61F1B" w:rsidRDefault="00874BF1" w:rsidP="00F61F1B">
      <w:pPr>
        <w:spacing w:after="0" w:line="300" w:lineRule="exact"/>
        <w:rPr>
          <w:rFonts w:ascii="Arial" w:hAnsi="Arial" w:cs="Arial"/>
        </w:rPr>
      </w:pPr>
    </w:p>
    <w:p w14:paraId="4AB9D63A" w14:textId="70A3012E" w:rsidR="000B693F" w:rsidRPr="00F61F1B" w:rsidRDefault="00866D71" w:rsidP="00F61F1B">
      <w:pPr>
        <w:spacing w:after="0" w:line="300" w:lineRule="exact"/>
        <w:rPr>
          <w:rFonts w:ascii="Arial" w:hAnsi="Arial" w:cs="Arial"/>
        </w:rPr>
      </w:pPr>
      <w:r w:rsidRPr="00F61F1B">
        <w:rPr>
          <w:rFonts w:ascii="Arial" w:hAnsi="Arial" w:cs="Arial"/>
        </w:rPr>
        <w:t>When Garland was appointed to his present position in 1997, the Senate had confirmed his appointment by 76 votes to 23.</w:t>
      </w:r>
      <w:r w:rsidR="004E5B8B">
        <w:rPr>
          <w:rFonts w:ascii="Arial" w:hAnsi="Arial" w:cs="Arial"/>
        </w:rPr>
        <w:t xml:space="preserve"> </w:t>
      </w:r>
      <w:r w:rsidRPr="00F61F1B">
        <w:rPr>
          <w:rFonts w:ascii="Arial" w:hAnsi="Arial" w:cs="Arial"/>
        </w:rPr>
        <w:t>But this time the Republican leadership announced that, far from confirming the nomination, they would not even permit a committee hearing to consider the issue</w:t>
      </w:r>
      <w:r w:rsidR="00874BF1" w:rsidRPr="00F61F1B">
        <w:rPr>
          <w:rFonts w:ascii="Arial" w:hAnsi="Arial" w:cs="Arial"/>
        </w:rPr>
        <w:t xml:space="preserve"> until after the November election</w:t>
      </w:r>
      <w:r w:rsidRPr="00F61F1B">
        <w:rPr>
          <w:rFonts w:ascii="Arial" w:hAnsi="Arial" w:cs="Arial"/>
        </w:rPr>
        <w:t>.</w:t>
      </w:r>
      <w:r w:rsidR="004E5B8B">
        <w:rPr>
          <w:rFonts w:ascii="Arial" w:hAnsi="Arial" w:cs="Arial"/>
        </w:rPr>
        <w:t xml:space="preserve"> </w:t>
      </w:r>
      <w:r w:rsidR="002B76D3" w:rsidRPr="00F61F1B">
        <w:rPr>
          <w:rFonts w:ascii="Arial" w:hAnsi="Arial" w:cs="Arial"/>
        </w:rPr>
        <w:t>Instead</w:t>
      </w:r>
      <w:r w:rsidRPr="00F61F1B">
        <w:rPr>
          <w:rFonts w:ascii="Arial" w:hAnsi="Arial" w:cs="Arial"/>
        </w:rPr>
        <w:t xml:space="preserve"> the </w:t>
      </w:r>
      <w:r w:rsidR="002B76D3" w:rsidRPr="00F61F1B">
        <w:rPr>
          <w:rFonts w:ascii="Arial" w:hAnsi="Arial" w:cs="Arial"/>
        </w:rPr>
        <w:t>National Republican Senatorial Committee has launched an Internet campaign to “Stop Obama’s Liberal Justice”.</w:t>
      </w:r>
    </w:p>
    <w:p w14:paraId="565C50ED" w14:textId="77777777" w:rsidR="000B693F" w:rsidRPr="00F61F1B" w:rsidRDefault="000B693F" w:rsidP="00F61F1B">
      <w:pPr>
        <w:spacing w:after="0" w:line="300" w:lineRule="exact"/>
        <w:rPr>
          <w:rFonts w:ascii="Arial" w:hAnsi="Arial" w:cs="Arial"/>
        </w:rPr>
      </w:pPr>
    </w:p>
    <w:p w14:paraId="2E99767B" w14:textId="7329F676" w:rsidR="000B693F" w:rsidRPr="00F61F1B" w:rsidRDefault="00BE36B9" w:rsidP="00F61F1B">
      <w:pPr>
        <w:spacing w:after="0" w:line="300" w:lineRule="exact"/>
        <w:rPr>
          <w:rFonts w:ascii="Arial" w:hAnsi="Arial" w:cs="Arial"/>
        </w:rPr>
      </w:pPr>
      <w:r w:rsidRPr="00F61F1B">
        <w:rPr>
          <w:rFonts w:ascii="Arial" w:hAnsi="Arial" w:cs="Arial"/>
        </w:rPr>
        <w:t>Meanwhile the eight remaining members of the Supreme Court have been busy</w:t>
      </w:r>
      <w:r w:rsidR="00874BF1" w:rsidRPr="00F61F1B">
        <w:rPr>
          <w:rFonts w:ascii="Arial" w:hAnsi="Arial" w:cs="Arial"/>
        </w:rPr>
        <w:t>.</w:t>
      </w:r>
      <w:r w:rsidR="004E5B8B">
        <w:rPr>
          <w:rFonts w:ascii="Arial" w:hAnsi="Arial" w:cs="Arial"/>
        </w:rPr>
        <w:t xml:space="preserve"> </w:t>
      </w:r>
      <w:r w:rsidR="00874BF1" w:rsidRPr="00F61F1B">
        <w:rPr>
          <w:rFonts w:ascii="Arial" w:hAnsi="Arial" w:cs="Arial"/>
        </w:rPr>
        <w:t>Over the last ten days of March – just before and after Easter – the Court announced significant steps in eight cases</w:t>
      </w:r>
      <w:r w:rsidR="00F61F1B" w:rsidRPr="00F61F1B">
        <w:rPr>
          <w:rFonts w:ascii="Arial" w:hAnsi="Arial" w:cs="Arial"/>
        </w:rPr>
        <w:t>.</w:t>
      </w:r>
      <w:r w:rsidR="004E5B8B">
        <w:rPr>
          <w:rFonts w:ascii="Arial" w:hAnsi="Arial" w:cs="Arial"/>
        </w:rPr>
        <w:t xml:space="preserve"> </w:t>
      </w:r>
      <w:r w:rsidR="00F61F1B" w:rsidRPr="00F61F1B">
        <w:rPr>
          <w:rFonts w:ascii="Arial" w:hAnsi="Arial" w:cs="Arial"/>
        </w:rPr>
        <w:t>A</w:t>
      </w:r>
      <w:r w:rsidR="0018608B" w:rsidRPr="00F61F1B">
        <w:rPr>
          <w:rFonts w:ascii="Arial" w:hAnsi="Arial" w:cs="Arial"/>
        </w:rPr>
        <w:t>t the beginning of April it added three more.</w:t>
      </w:r>
      <w:r w:rsidR="004E5B8B">
        <w:rPr>
          <w:rFonts w:ascii="Arial" w:hAnsi="Arial" w:cs="Arial"/>
        </w:rPr>
        <w:t xml:space="preserve"> </w:t>
      </w:r>
      <w:r w:rsidR="0018608B" w:rsidRPr="00F61F1B">
        <w:rPr>
          <w:rFonts w:ascii="Arial" w:hAnsi="Arial" w:cs="Arial"/>
        </w:rPr>
        <w:t>A</w:t>
      </w:r>
      <w:r w:rsidR="00874BF1" w:rsidRPr="00F61F1B">
        <w:rPr>
          <w:rFonts w:ascii="Arial" w:hAnsi="Arial" w:cs="Arial"/>
        </w:rPr>
        <w:t>nd in at least</w:t>
      </w:r>
      <w:r w:rsidR="00085E96" w:rsidRPr="00F61F1B">
        <w:rPr>
          <w:rFonts w:ascii="Arial" w:hAnsi="Arial" w:cs="Arial"/>
        </w:rPr>
        <w:t xml:space="preserve"> two</w:t>
      </w:r>
      <w:r w:rsidRPr="00F61F1B">
        <w:rPr>
          <w:rFonts w:ascii="Arial" w:hAnsi="Arial" w:cs="Arial"/>
        </w:rPr>
        <w:t xml:space="preserve"> of the</w:t>
      </w:r>
      <w:r w:rsidR="0018608B" w:rsidRPr="00F61F1B">
        <w:rPr>
          <w:rFonts w:ascii="Arial" w:hAnsi="Arial" w:cs="Arial"/>
        </w:rPr>
        <w:t>se eleven cases,</w:t>
      </w:r>
      <w:r w:rsidRPr="00F61F1B">
        <w:rPr>
          <w:rFonts w:ascii="Arial" w:hAnsi="Arial" w:cs="Arial"/>
        </w:rPr>
        <w:t xml:space="preserve"> </w:t>
      </w:r>
      <w:r w:rsidR="007E34C0" w:rsidRPr="00F61F1B">
        <w:rPr>
          <w:rFonts w:ascii="Arial" w:hAnsi="Arial" w:cs="Arial"/>
        </w:rPr>
        <w:t>S</w:t>
      </w:r>
      <w:r w:rsidRPr="00F61F1B">
        <w:rPr>
          <w:rFonts w:ascii="Arial" w:hAnsi="Arial" w:cs="Arial"/>
        </w:rPr>
        <w:t>calia</w:t>
      </w:r>
      <w:r w:rsidR="009C7806" w:rsidRPr="00F61F1B">
        <w:rPr>
          <w:rFonts w:ascii="Arial" w:hAnsi="Arial" w:cs="Arial"/>
        </w:rPr>
        <w:t>’s absence</w:t>
      </w:r>
      <w:r w:rsidRPr="00F61F1B">
        <w:rPr>
          <w:rFonts w:ascii="Arial" w:hAnsi="Arial" w:cs="Arial"/>
        </w:rPr>
        <w:t xml:space="preserve"> ma</w:t>
      </w:r>
      <w:r w:rsidR="00085E96" w:rsidRPr="00F61F1B">
        <w:rPr>
          <w:rFonts w:ascii="Arial" w:hAnsi="Arial" w:cs="Arial"/>
        </w:rPr>
        <w:t>d</w:t>
      </w:r>
      <w:r w:rsidRPr="00F61F1B">
        <w:rPr>
          <w:rFonts w:ascii="Arial" w:hAnsi="Arial" w:cs="Arial"/>
        </w:rPr>
        <w:t>e a</w:t>
      </w:r>
      <w:r w:rsidR="00085E96" w:rsidRPr="00F61F1B">
        <w:rPr>
          <w:rFonts w:ascii="Arial" w:hAnsi="Arial" w:cs="Arial"/>
        </w:rPr>
        <w:t xml:space="preserve"> crucial</w:t>
      </w:r>
      <w:r w:rsidRPr="00F61F1B">
        <w:rPr>
          <w:rFonts w:ascii="Arial" w:hAnsi="Arial" w:cs="Arial"/>
        </w:rPr>
        <w:t xml:space="preserve"> difference.</w:t>
      </w:r>
    </w:p>
    <w:p w14:paraId="5063131E" w14:textId="77777777" w:rsidR="000B693F" w:rsidRPr="00F61F1B" w:rsidRDefault="000B693F" w:rsidP="00F61F1B">
      <w:pPr>
        <w:spacing w:after="0" w:line="300" w:lineRule="exact"/>
        <w:rPr>
          <w:rFonts w:ascii="Arial" w:hAnsi="Arial" w:cs="Arial"/>
        </w:rPr>
      </w:pPr>
    </w:p>
    <w:p w14:paraId="03E135DA" w14:textId="4BC66843" w:rsidR="000B693F" w:rsidRPr="00F61F1B" w:rsidRDefault="00085E96" w:rsidP="00F61F1B">
      <w:pPr>
        <w:pStyle w:val="NormalWeb"/>
        <w:shd w:val="clear" w:color="auto" w:fill="FFFFFF"/>
        <w:spacing w:before="0" w:beforeAutospacing="0" w:after="0" w:afterAutospacing="0" w:line="300" w:lineRule="exact"/>
        <w:rPr>
          <w:rFonts w:ascii="Arial" w:hAnsi="Arial" w:cs="Arial"/>
          <w:sz w:val="22"/>
          <w:szCs w:val="22"/>
        </w:rPr>
      </w:pPr>
      <w:r w:rsidRPr="00F61F1B">
        <w:rPr>
          <w:rFonts w:ascii="Arial" w:hAnsi="Arial" w:cs="Arial"/>
          <w:sz w:val="22"/>
          <w:szCs w:val="22"/>
        </w:rPr>
        <w:t xml:space="preserve">In one case, </w:t>
      </w:r>
      <w:r w:rsidR="00BE36B9" w:rsidRPr="00F61F1B">
        <w:rPr>
          <w:rFonts w:ascii="Arial" w:hAnsi="Arial" w:cs="Arial"/>
          <w:sz w:val="22"/>
          <w:szCs w:val="22"/>
        </w:rPr>
        <w:t xml:space="preserve">two men in Missouri </w:t>
      </w:r>
      <w:r w:rsidR="008D65EA" w:rsidRPr="00F61F1B">
        <w:rPr>
          <w:rFonts w:ascii="Arial" w:hAnsi="Arial" w:cs="Arial"/>
          <w:sz w:val="22"/>
          <w:szCs w:val="22"/>
        </w:rPr>
        <w:t xml:space="preserve">had </w:t>
      </w:r>
      <w:r w:rsidRPr="00F61F1B">
        <w:rPr>
          <w:rFonts w:ascii="Arial" w:hAnsi="Arial" w:cs="Arial"/>
          <w:sz w:val="22"/>
          <w:szCs w:val="22"/>
        </w:rPr>
        <w:t>sought</w:t>
      </w:r>
      <w:r w:rsidR="00BE36B9" w:rsidRPr="00F61F1B">
        <w:rPr>
          <w:rFonts w:ascii="Arial" w:hAnsi="Arial" w:cs="Arial"/>
          <w:sz w:val="22"/>
          <w:szCs w:val="22"/>
        </w:rPr>
        <w:t xml:space="preserve"> a bank loan </w:t>
      </w:r>
      <w:r w:rsidR="008D65EA" w:rsidRPr="00F61F1B">
        <w:rPr>
          <w:rFonts w:ascii="Arial" w:hAnsi="Arial" w:cs="Arial"/>
          <w:sz w:val="22"/>
          <w:szCs w:val="22"/>
        </w:rPr>
        <w:t>for</w:t>
      </w:r>
      <w:r w:rsidR="00BE36B9" w:rsidRPr="00F61F1B">
        <w:rPr>
          <w:rFonts w:ascii="Arial" w:hAnsi="Arial" w:cs="Arial"/>
          <w:sz w:val="22"/>
          <w:szCs w:val="22"/>
        </w:rPr>
        <w:t xml:space="preserve"> a residential housing </w:t>
      </w:r>
      <w:r w:rsidRPr="00F61F1B">
        <w:rPr>
          <w:rFonts w:ascii="Arial" w:hAnsi="Arial" w:cs="Arial"/>
          <w:sz w:val="22"/>
          <w:szCs w:val="22"/>
        </w:rPr>
        <w:t>project</w:t>
      </w:r>
      <w:r w:rsidR="00BE36B9" w:rsidRPr="00F61F1B">
        <w:rPr>
          <w:rFonts w:ascii="Arial" w:hAnsi="Arial" w:cs="Arial"/>
          <w:sz w:val="22"/>
          <w:szCs w:val="22"/>
        </w:rPr>
        <w:t xml:space="preserve">, </w:t>
      </w:r>
      <w:r w:rsidR="008D65EA" w:rsidRPr="00F61F1B">
        <w:rPr>
          <w:rFonts w:ascii="Arial" w:hAnsi="Arial" w:cs="Arial"/>
          <w:sz w:val="22"/>
          <w:szCs w:val="22"/>
        </w:rPr>
        <w:t>only to be met with a demand</w:t>
      </w:r>
      <w:r w:rsidR="00BE36B9" w:rsidRPr="00F61F1B">
        <w:rPr>
          <w:rFonts w:ascii="Arial" w:hAnsi="Arial" w:cs="Arial"/>
          <w:sz w:val="22"/>
          <w:szCs w:val="22"/>
        </w:rPr>
        <w:t xml:space="preserve"> for guarantees from their wives</w:t>
      </w:r>
      <w:bookmarkStart w:id="0" w:name="_ednref1"/>
      <w:r w:rsidR="00D12259" w:rsidRPr="00F61F1B">
        <w:rPr>
          <w:rFonts w:ascii="Arial" w:hAnsi="Arial" w:cs="Arial"/>
          <w:sz w:val="22"/>
          <w:szCs w:val="22"/>
        </w:rPr>
        <w:t>.</w:t>
      </w:r>
      <w:hyperlink r:id="rId9" w:anchor="_edn1" w:history="1">
        <w:r w:rsidR="003C3645" w:rsidRPr="00F61F1B">
          <w:rPr>
            <w:rFonts w:ascii="Arial" w:hAnsi="Arial" w:cs="Arial"/>
            <w:color w:val="392B7D"/>
            <w:sz w:val="22"/>
            <w:szCs w:val="22"/>
          </w:rPr>
          <w:t>[</w:t>
        </w:r>
        <w:r w:rsidR="003C3645" w:rsidRPr="00F61F1B">
          <w:rPr>
            <w:rStyle w:val="EndnoteReference"/>
            <w:rFonts w:ascii="Arial" w:hAnsi="Arial" w:cs="Arial"/>
            <w:color w:val="392B7D"/>
            <w:sz w:val="22"/>
            <w:szCs w:val="22"/>
            <w:vertAlign w:val="baseline"/>
          </w:rPr>
          <w:endnoteReference w:id="1"/>
        </w:r>
        <w:r w:rsidR="000B693F" w:rsidRPr="00F61F1B">
          <w:rPr>
            <w:rFonts w:ascii="Arial" w:hAnsi="Arial" w:cs="Arial"/>
            <w:color w:val="392B7D"/>
            <w:sz w:val="22"/>
            <w:szCs w:val="22"/>
          </w:rPr>
          <w:t>]</w:t>
        </w:r>
      </w:hyperlink>
      <w:bookmarkEnd w:id="0"/>
      <w:r w:rsidR="004E5B8B">
        <w:rPr>
          <w:rFonts w:ascii="Arial" w:hAnsi="Arial" w:cs="Arial"/>
          <w:sz w:val="22"/>
          <w:szCs w:val="22"/>
        </w:rPr>
        <w:t xml:space="preserve"> </w:t>
      </w:r>
      <w:r w:rsidR="00BB5A1D" w:rsidRPr="00F61F1B">
        <w:rPr>
          <w:rFonts w:ascii="Arial" w:hAnsi="Arial" w:cs="Arial"/>
          <w:sz w:val="22"/>
          <w:szCs w:val="22"/>
        </w:rPr>
        <w:t>The guarantees were given; the loan was granted; but the housing project failed.</w:t>
      </w:r>
      <w:r w:rsidR="004E5B8B">
        <w:rPr>
          <w:rFonts w:ascii="Arial" w:hAnsi="Arial" w:cs="Arial"/>
          <w:sz w:val="22"/>
          <w:szCs w:val="22"/>
        </w:rPr>
        <w:t xml:space="preserve"> </w:t>
      </w:r>
      <w:r w:rsidR="00BB5A1D" w:rsidRPr="00F61F1B">
        <w:rPr>
          <w:rFonts w:ascii="Arial" w:hAnsi="Arial" w:cs="Arial"/>
          <w:sz w:val="22"/>
          <w:szCs w:val="22"/>
        </w:rPr>
        <w:t>Thereupon the bank sued on the guarantees.</w:t>
      </w:r>
      <w:r w:rsidR="004E5B8B">
        <w:rPr>
          <w:rFonts w:ascii="Arial" w:hAnsi="Arial" w:cs="Arial"/>
          <w:sz w:val="22"/>
          <w:szCs w:val="22"/>
        </w:rPr>
        <w:t xml:space="preserve"> </w:t>
      </w:r>
      <w:r w:rsidR="00BB5A1D" w:rsidRPr="00F61F1B">
        <w:rPr>
          <w:rFonts w:ascii="Arial" w:hAnsi="Arial" w:cs="Arial"/>
          <w:sz w:val="22"/>
          <w:szCs w:val="22"/>
        </w:rPr>
        <w:t>But the wives then claimed that the guarantees were void and unenforceable.</w:t>
      </w:r>
      <w:r w:rsidR="004E5B8B">
        <w:rPr>
          <w:rFonts w:ascii="Arial" w:hAnsi="Arial" w:cs="Arial"/>
          <w:sz w:val="22"/>
          <w:szCs w:val="22"/>
        </w:rPr>
        <w:t xml:space="preserve"> </w:t>
      </w:r>
      <w:r w:rsidR="00BB5A1D" w:rsidRPr="00F61F1B">
        <w:rPr>
          <w:rFonts w:ascii="Arial" w:hAnsi="Arial" w:cs="Arial"/>
          <w:sz w:val="22"/>
          <w:szCs w:val="22"/>
        </w:rPr>
        <w:t>They argued that since they had no direct financial or other involvement in their husbands’ business ventures, the bank had asked for their guarantees “solely because they were married to their respective husbands”.</w:t>
      </w:r>
      <w:r w:rsidR="00BB5A1D" w:rsidRPr="00F61F1B">
        <w:rPr>
          <w:rFonts w:ascii="Arial" w:hAnsi="Arial" w:cs="Arial"/>
          <w:color w:val="392B7D"/>
          <w:sz w:val="22"/>
          <w:szCs w:val="22"/>
        </w:rPr>
        <w:t>[</w:t>
      </w:r>
      <w:r w:rsidR="00BB5A1D" w:rsidRPr="00F61F1B">
        <w:rPr>
          <w:rStyle w:val="EndnoteReference"/>
          <w:rFonts w:ascii="Arial" w:hAnsi="Arial" w:cs="Arial"/>
          <w:color w:val="392B7D"/>
          <w:sz w:val="22"/>
          <w:szCs w:val="22"/>
          <w:vertAlign w:val="baseline"/>
        </w:rPr>
        <w:endnoteReference w:id="2"/>
      </w:r>
      <w:r w:rsidR="00BB5A1D" w:rsidRPr="00F61F1B">
        <w:rPr>
          <w:rFonts w:ascii="Arial" w:hAnsi="Arial" w:cs="Arial"/>
          <w:color w:val="392B7D"/>
          <w:sz w:val="22"/>
          <w:szCs w:val="22"/>
        </w:rPr>
        <w:t>]</w:t>
      </w:r>
      <w:r w:rsidR="004E5B8B">
        <w:rPr>
          <w:rFonts w:ascii="Arial" w:hAnsi="Arial" w:cs="Arial"/>
          <w:sz w:val="22"/>
          <w:szCs w:val="22"/>
        </w:rPr>
        <w:t xml:space="preserve"> </w:t>
      </w:r>
      <w:r w:rsidR="00BB5A1D" w:rsidRPr="00F61F1B">
        <w:rPr>
          <w:rFonts w:ascii="Arial" w:hAnsi="Arial" w:cs="Arial"/>
          <w:sz w:val="22"/>
          <w:szCs w:val="22"/>
        </w:rPr>
        <w:t xml:space="preserve">This was said to infringe the </w:t>
      </w:r>
      <w:r w:rsidR="00BB5A1D" w:rsidRPr="00F61F1B">
        <w:rPr>
          <w:rFonts w:ascii="Arial" w:hAnsi="Arial" w:cs="Arial"/>
          <w:i/>
          <w:sz w:val="22"/>
          <w:szCs w:val="22"/>
        </w:rPr>
        <w:t>Equal Credit Opportunity Act</w:t>
      </w:r>
      <w:r w:rsidR="00BB5A1D" w:rsidRPr="00F61F1B">
        <w:rPr>
          <w:rFonts w:ascii="Arial" w:hAnsi="Arial" w:cs="Arial"/>
          <w:sz w:val="22"/>
          <w:szCs w:val="22"/>
        </w:rPr>
        <w:t xml:space="preserve"> of 1974, which makes it unlawful to “discriminate against any applicant” on the basis of marital status.</w:t>
      </w:r>
    </w:p>
    <w:p w14:paraId="71DB9866" w14:textId="77777777" w:rsidR="00BB5A1D" w:rsidRPr="00F61F1B" w:rsidRDefault="00BB5A1D" w:rsidP="00F61F1B">
      <w:pPr>
        <w:pStyle w:val="NormalWeb"/>
        <w:shd w:val="clear" w:color="auto" w:fill="FFFFFF"/>
        <w:spacing w:before="0" w:beforeAutospacing="0" w:after="0" w:afterAutospacing="0" w:line="300" w:lineRule="exact"/>
        <w:rPr>
          <w:rFonts w:ascii="Arial" w:hAnsi="Arial" w:cs="Arial"/>
          <w:sz w:val="22"/>
          <w:szCs w:val="22"/>
        </w:rPr>
      </w:pPr>
    </w:p>
    <w:p w14:paraId="107287B4" w14:textId="29807203" w:rsidR="00BB5A1D" w:rsidRPr="00F61F1B" w:rsidRDefault="00BB5A1D" w:rsidP="00F61F1B">
      <w:pPr>
        <w:spacing w:after="0" w:line="300" w:lineRule="exact"/>
        <w:rPr>
          <w:rFonts w:ascii="Arial" w:hAnsi="Arial" w:cs="Arial"/>
        </w:rPr>
      </w:pPr>
      <w:r w:rsidRPr="00F61F1B">
        <w:rPr>
          <w:rFonts w:ascii="Arial" w:hAnsi="Arial" w:cs="Arial"/>
        </w:rPr>
        <w:t>The provision was meant as a protection for wives against demands that their applications for credit be backed by guarantees from their husbands.</w:t>
      </w:r>
      <w:r w:rsidR="004E5B8B">
        <w:rPr>
          <w:rFonts w:ascii="Arial" w:hAnsi="Arial" w:cs="Arial"/>
        </w:rPr>
        <w:t xml:space="preserve"> </w:t>
      </w:r>
      <w:r w:rsidRPr="00F61F1B">
        <w:rPr>
          <w:rFonts w:ascii="Arial" w:hAnsi="Arial" w:cs="Arial"/>
        </w:rPr>
        <w:t xml:space="preserve">But it was </w:t>
      </w:r>
      <w:r w:rsidR="00CE32F1">
        <w:rPr>
          <w:rFonts w:ascii="Arial" w:hAnsi="Arial" w:cs="Arial"/>
        </w:rPr>
        <w:t>common ground</w:t>
      </w:r>
      <w:r w:rsidRPr="00F61F1B">
        <w:rPr>
          <w:rFonts w:ascii="Arial" w:hAnsi="Arial" w:cs="Arial"/>
        </w:rPr>
        <w:t xml:space="preserve"> that the converse demand </w:t>
      </w:r>
      <w:r w:rsidR="00CE32F1">
        <w:rPr>
          <w:rFonts w:ascii="Arial" w:hAnsi="Arial" w:cs="Arial"/>
        </w:rPr>
        <w:t>in this case had been</w:t>
      </w:r>
      <w:r w:rsidRPr="00F61F1B">
        <w:rPr>
          <w:rFonts w:ascii="Arial" w:hAnsi="Arial" w:cs="Arial"/>
        </w:rPr>
        <w:t xml:space="preserve"> equally discriminatory on the basis of marital status.</w:t>
      </w:r>
      <w:r w:rsidR="004E5B8B">
        <w:rPr>
          <w:rFonts w:ascii="Arial" w:hAnsi="Arial" w:cs="Arial"/>
        </w:rPr>
        <w:t xml:space="preserve"> </w:t>
      </w:r>
      <w:r w:rsidRPr="00F61F1B">
        <w:rPr>
          <w:rFonts w:ascii="Arial" w:hAnsi="Arial" w:cs="Arial"/>
        </w:rPr>
        <w:t>What was disputed was whether the phrase “discriminate against any applicant” was applicable to the wives, since the only “applicants” here were the husbands.</w:t>
      </w:r>
    </w:p>
    <w:p w14:paraId="14CCC79B" w14:textId="77777777" w:rsidR="00BB5A1D" w:rsidRPr="00F61F1B" w:rsidRDefault="00BB5A1D" w:rsidP="00F61F1B">
      <w:pPr>
        <w:spacing w:after="0" w:line="300" w:lineRule="exact"/>
        <w:rPr>
          <w:rFonts w:ascii="Arial" w:hAnsi="Arial" w:cs="Arial"/>
        </w:rPr>
      </w:pPr>
    </w:p>
    <w:p w14:paraId="0F12362A" w14:textId="1BC8B88E" w:rsidR="00BB5A1D" w:rsidRPr="00F61F1B" w:rsidRDefault="00BB5A1D" w:rsidP="00F61F1B">
      <w:pPr>
        <w:spacing w:after="0" w:line="300" w:lineRule="exact"/>
        <w:rPr>
          <w:rFonts w:ascii="Arial" w:hAnsi="Arial" w:cs="Arial"/>
        </w:rPr>
      </w:pPr>
      <w:r w:rsidRPr="00F61F1B">
        <w:rPr>
          <w:rFonts w:ascii="Arial" w:hAnsi="Arial" w:cs="Arial"/>
        </w:rPr>
        <w:lastRenderedPageBreak/>
        <w:t xml:space="preserve">The Federal Reserve, in the exercise of its power to make regulations for the purposes of the statute, had tried to deal with this problem by providing that the word “applicant” “includes guarantors”; and under the so-called </w:t>
      </w:r>
      <w:r w:rsidRPr="00F61F1B">
        <w:rPr>
          <w:rFonts w:ascii="Arial" w:hAnsi="Arial" w:cs="Arial"/>
          <w:i/>
        </w:rPr>
        <w:t>Chevron</w:t>
      </w:r>
      <w:r w:rsidRPr="00F61F1B">
        <w:rPr>
          <w:rFonts w:ascii="Arial" w:hAnsi="Arial" w:cs="Arial"/>
        </w:rPr>
        <w:t xml:space="preserve"> principle</w:t>
      </w:r>
      <w:proofErr w:type="gramStart"/>
      <w:r w:rsidRPr="00F61F1B">
        <w:rPr>
          <w:rFonts w:ascii="Arial" w:hAnsi="Arial" w:cs="Arial"/>
        </w:rPr>
        <w:t>,</w:t>
      </w:r>
      <w:r w:rsidR="0046058B" w:rsidRPr="00F61F1B">
        <w:rPr>
          <w:rFonts w:ascii="Arial" w:hAnsi="Arial" w:cs="Arial"/>
          <w:color w:val="392B7D"/>
        </w:rPr>
        <w:t>[</w:t>
      </w:r>
      <w:proofErr w:type="gramEnd"/>
      <w:r w:rsidR="0046058B" w:rsidRPr="00F61F1B">
        <w:rPr>
          <w:rStyle w:val="EndnoteReference"/>
          <w:rFonts w:ascii="Arial" w:hAnsi="Arial" w:cs="Arial"/>
          <w:color w:val="392B7D"/>
          <w:vertAlign w:val="baseline"/>
        </w:rPr>
        <w:endnoteReference w:id="3"/>
      </w:r>
      <w:r w:rsidR="0046058B" w:rsidRPr="00F61F1B">
        <w:rPr>
          <w:rFonts w:ascii="Arial" w:hAnsi="Arial" w:cs="Arial"/>
          <w:color w:val="392B7D"/>
        </w:rPr>
        <w:t>]</w:t>
      </w:r>
      <w:r w:rsidRPr="00F61F1B">
        <w:rPr>
          <w:rFonts w:ascii="Arial" w:hAnsi="Arial" w:cs="Arial"/>
        </w:rPr>
        <w:t xml:space="preserve"> when a regulatory agency attempts in good faith to supply an interpretation of its governing statute, the courts will defer to that interpretation </w:t>
      </w:r>
      <w:r w:rsidR="00CE32F1">
        <w:rPr>
          <w:rFonts w:ascii="Arial" w:hAnsi="Arial" w:cs="Arial"/>
        </w:rPr>
        <w:t>so long as it is reasonably open</w:t>
      </w:r>
      <w:r w:rsidRPr="00F61F1B">
        <w:rPr>
          <w:rFonts w:ascii="Arial" w:hAnsi="Arial" w:cs="Arial"/>
        </w:rPr>
        <w:t>.</w:t>
      </w:r>
      <w:r w:rsidR="004E5B8B">
        <w:rPr>
          <w:rFonts w:ascii="Arial" w:hAnsi="Arial" w:cs="Arial"/>
        </w:rPr>
        <w:t xml:space="preserve"> </w:t>
      </w:r>
      <w:r w:rsidRPr="00F61F1B">
        <w:rPr>
          <w:rFonts w:ascii="Arial" w:hAnsi="Arial" w:cs="Arial"/>
        </w:rPr>
        <w:t xml:space="preserve">But in recent years the </w:t>
      </w:r>
      <w:r w:rsidRPr="00F61F1B">
        <w:rPr>
          <w:rFonts w:ascii="Arial" w:hAnsi="Arial" w:cs="Arial"/>
          <w:i/>
        </w:rPr>
        <w:t>Chevron</w:t>
      </w:r>
      <w:r w:rsidRPr="00F61F1B">
        <w:rPr>
          <w:rFonts w:ascii="Arial" w:hAnsi="Arial" w:cs="Arial"/>
        </w:rPr>
        <w:t xml:space="preserve"> principle has seemed to be less in favour; and in any event it could not apply here if the word “applicant” as used in the statute had an unambiguous meaning which </w:t>
      </w:r>
      <w:r w:rsidRPr="00F61F1B">
        <w:rPr>
          <w:rFonts w:ascii="Arial" w:hAnsi="Arial" w:cs="Arial"/>
          <w:i/>
        </w:rPr>
        <w:t>could not</w:t>
      </w:r>
      <w:r w:rsidRPr="00F61F1B">
        <w:rPr>
          <w:rFonts w:ascii="Arial" w:hAnsi="Arial" w:cs="Arial"/>
        </w:rPr>
        <w:t xml:space="preserve"> include a “guarantor”.</w:t>
      </w:r>
      <w:r w:rsidR="004E5B8B">
        <w:rPr>
          <w:rFonts w:ascii="Arial" w:hAnsi="Arial" w:cs="Arial"/>
        </w:rPr>
        <w:t xml:space="preserve"> </w:t>
      </w:r>
      <w:r w:rsidRPr="00F61F1B">
        <w:rPr>
          <w:rFonts w:ascii="Arial" w:hAnsi="Arial" w:cs="Arial"/>
        </w:rPr>
        <w:t>Thus, the only issue was whether a wife in the situation presented here could be regarded as an “applicant”.</w:t>
      </w:r>
    </w:p>
    <w:p w14:paraId="48B4AD38" w14:textId="77777777" w:rsidR="000B693F" w:rsidRPr="00F61F1B" w:rsidRDefault="000B693F" w:rsidP="00F61F1B">
      <w:pPr>
        <w:spacing w:after="0" w:line="300" w:lineRule="exact"/>
        <w:rPr>
          <w:rFonts w:ascii="Arial" w:hAnsi="Arial" w:cs="Arial"/>
        </w:rPr>
      </w:pPr>
    </w:p>
    <w:p w14:paraId="56660D84" w14:textId="7A7CE5F8" w:rsidR="000B693F" w:rsidRPr="00F61F1B" w:rsidRDefault="00BE36B9" w:rsidP="00F61F1B">
      <w:pPr>
        <w:spacing w:after="0" w:line="300" w:lineRule="exact"/>
        <w:rPr>
          <w:rFonts w:ascii="Arial" w:hAnsi="Arial" w:cs="Arial"/>
        </w:rPr>
      </w:pPr>
      <w:r w:rsidRPr="00F61F1B">
        <w:rPr>
          <w:rFonts w:ascii="Arial" w:hAnsi="Arial" w:cs="Arial"/>
        </w:rPr>
        <w:t>When the case was argued back in October, Scalia had insisted that she could not be.</w:t>
      </w:r>
      <w:r w:rsidR="004E5B8B">
        <w:rPr>
          <w:rFonts w:ascii="Arial" w:hAnsi="Arial" w:cs="Arial"/>
        </w:rPr>
        <w:t xml:space="preserve"> </w:t>
      </w:r>
      <w:r w:rsidRPr="00F61F1B">
        <w:rPr>
          <w:rFonts w:ascii="Arial" w:hAnsi="Arial" w:cs="Arial"/>
        </w:rPr>
        <w:t>If, he said, I write a reference for an applicant for admission to a law school, can I be regarded as an “applicant”?</w:t>
      </w:r>
      <w:r w:rsidR="004E5B8B">
        <w:rPr>
          <w:rFonts w:ascii="Arial" w:hAnsi="Arial" w:cs="Arial"/>
        </w:rPr>
        <w:t xml:space="preserve"> </w:t>
      </w:r>
      <w:r w:rsidRPr="00F61F1B">
        <w:rPr>
          <w:rFonts w:ascii="Arial" w:hAnsi="Arial" w:cs="Arial"/>
        </w:rPr>
        <w:t>“Would anybody use the English language that way?”</w:t>
      </w:r>
      <w:r w:rsidR="004E5B8B">
        <w:rPr>
          <w:rFonts w:ascii="Arial" w:hAnsi="Arial" w:cs="Arial"/>
        </w:rPr>
        <w:t xml:space="preserve"> </w:t>
      </w:r>
      <w:r w:rsidRPr="00F61F1B">
        <w:rPr>
          <w:rFonts w:ascii="Arial" w:hAnsi="Arial" w:cs="Arial"/>
        </w:rPr>
        <w:t xml:space="preserve">Justice </w:t>
      </w:r>
      <w:proofErr w:type="spellStart"/>
      <w:r w:rsidRPr="00F61F1B">
        <w:rPr>
          <w:rFonts w:ascii="Arial" w:hAnsi="Arial" w:cs="Arial"/>
        </w:rPr>
        <w:t>Breyer</w:t>
      </w:r>
      <w:proofErr w:type="spellEnd"/>
      <w:r w:rsidRPr="00F61F1B">
        <w:rPr>
          <w:rFonts w:ascii="Arial" w:hAnsi="Arial" w:cs="Arial"/>
        </w:rPr>
        <w:t xml:space="preserve"> had countered that argument by giving the example of a parent</w:t>
      </w:r>
      <w:r w:rsidR="0006032D" w:rsidRPr="00F61F1B">
        <w:rPr>
          <w:rFonts w:ascii="Arial" w:hAnsi="Arial" w:cs="Arial"/>
        </w:rPr>
        <w:t xml:space="preserve"> </w:t>
      </w:r>
      <w:r w:rsidR="00291FFE" w:rsidRPr="00F61F1B">
        <w:rPr>
          <w:rFonts w:ascii="Arial" w:hAnsi="Arial" w:cs="Arial"/>
        </w:rPr>
        <w:t xml:space="preserve">applying </w:t>
      </w:r>
      <w:r w:rsidR="0006032D" w:rsidRPr="00F61F1B">
        <w:rPr>
          <w:rFonts w:ascii="Arial" w:hAnsi="Arial" w:cs="Arial"/>
        </w:rPr>
        <w:t>for the admission of a seven year old child to school.</w:t>
      </w:r>
      <w:r w:rsidR="004E5B8B">
        <w:rPr>
          <w:rFonts w:ascii="Arial" w:hAnsi="Arial" w:cs="Arial"/>
        </w:rPr>
        <w:t xml:space="preserve"> </w:t>
      </w:r>
      <w:r w:rsidR="0006032D" w:rsidRPr="00F61F1B">
        <w:rPr>
          <w:rFonts w:ascii="Arial" w:hAnsi="Arial" w:cs="Arial"/>
        </w:rPr>
        <w:t>“Isn’t it normal for us to refer to the parent as the applicant?”</w:t>
      </w:r>
    </w:p>
    <w:p w14:paraId="2421686E" w14:textId="77777777" w:rsidR="000B693F" w:rsidRPr="00F61F1B" w:rsidRDefault="000B693F" w:rsidP="00F61F1B">
      <w:pPr>
        <w:spacing w:after="0" w:line="300" w:lineRule="exact"/>
        <w:rPr>
          <w:rFonts w:ascii="Arial" w:hAnsi="Arial" w:cs="Arial"/>
        </w:rPr>
      </w:pPr>
    </w:p>
    <w:p w14:paraId="30B017E2" w14:textId="0B5C3281" w:rsidR="000B693F" w:rsidRPr="00F61F1B" w:rsidRDefault="0006032D" w:rsidP="00F61F1B">
      <w:pPr>
        <w:spacing w:after="0" w:line="300" w:lineRule="exact"/>
        <w:rPr>
          <w:rFonts w:ascii="Arial" w:hAnsi="Arial" w:cs="Arial"/>
        </w:rPr>
      </w:pPr>
      <w:r w:rsidRPr="00F61F1B">
        <w:rPr>
          <w:rFonts w:ascii="Arial" w:hAnsi="Arial" w:cs="Arial"/>
        </w:rPr>
        <w:t>Now, on 22 March, the Court was evenly divided.</w:t>
      </w:r>
      <w:r w:rsidR="004E5B8B">
        <w:rPr>
          <w:rFonts w:ascii="Arial" w:hAnsi="Arial" w:cs="Arial"/>
        </w:rPr>
        <w:t xml:space="preserve"> </w:t>
      </w:r>
      <w:r w:rsidRPr="00F61F1B">
        <w:rPr>
          <w:rFonts w:ascii="Arial" w:hAnsi="Arial" w:cs="Arial"/>
        </w:rPr>
        <w:t>Four judges thought the wife in such a case could be regarded as an “applicant”, four thought she could not be.</w:t>
      </w:r>
      <w:r w:rsidR="004E5B8B">
        <w:rPr>
          <w:rFonts w:ascii="Arial" w:hAnsi="Arial" w:cs="Arial"/>
        </w:rPr>
        <w:t xml:space="preserve"> </w:t>
      </w:r>
      <w:r w:rsidRPr="00F61F1B">
        <w:rPr>
          <w:rFonts w:ascii="Arial" w:hAnsi="Arial" w:cs="Arial"/>
        </w:rPr>
        <w:t>The result was that no judgments were given at all.</w:t>
      </w:r>
      <w:r w:rsidR="004E5B8B">
        <w:rPr>
          <w:rFonts w:ascii="Arial" w:hAnsi="Arial" w:cs="Arial"/>
        </w:rPr>
        <w:t xml:space="preserve"> </w:t>
      </w:r>
      <w:r w:rsidRPr="00F61F1B">
        <w:rPr>
          <w:rFonts w:ascii="Arial" w:hAnsi="Arial" w:cs="Arial"/>
        </w:rPr>
        <w:t>Instead there was a bare announcement that the decision below (rejecting the wives’ complaint) would be affirmed.</w:t>
      </w:r>
    </w:p>
    <w:p w14:paraId="6E90FD5C" w14:textId="77777777" w:rsidR="000B693F" w:rsidRPr="00F61F1B" w:rsidRDefault="000B693F" w:rsidP="00F61F1B">
      <w:pPr>
        <w:spacing w:after="0" w:line="300" w:lineRule="exact"/>
        <w:rPr>
          <w:rFonts w:ascii="Arial" w:hAnsi="Arial" w:cs="Arial"/>
        </w:rPr>
      </w:pPr>
    </w:p>
    <w:p w14:paraId="4B549E78" w14:textId="15284EB9" w:rsidR="000B693F" w:rsidRPr="00F61F1B" w:rsidRDefault="00AF7EB8" w:rsidP="00F61F1B">
      <w:pPr>
        <w:pStyle w:val="NormalWeb"/>
        <w:shd w:val="clear" w:color="auto" w:fill="FFFFFF"/>
        <w:spacing w:before="0" w:beforeAutospacing="0" w:after="0" w:afterAutospacing="0" w:line="300" w:lineRule="exact"/>
        <w:rPr>
          <w:rFonts w:ascii="Arial" w:hAnsi="Arial" w:cs="Arial"/>
          <w:sz w:val="22"/>
          <w:szCs w:val="22"/>
        </w:rPr>
      </w:pPr>
      <w:r w:rsidRPr="00F61F1B">
        <w:rPr>
          <w:rFonts w:ascii="Arial" w:hAnsi="Arial" w:cs="Arial"/>
          <w:sz w:val="22"/>
          <w:szCs w:val="22"/>
        </w:rPr>
        <w:t>The second case</w:t>
      </w:r>
      <w:bookmarkStart w:id="1" w:name="_ednref2"/>
      <w:r w:rsidR="000B693F" w:rsidRPr="00F61F1B">
        <w:rPr>
          <w:rFonts w:ascii="Arial" w:hAnsi="Arial" w:cs="Arial"/>
          <w:color w:val="392B7D"/>
          <w:sz w:val="22"/>
          <w:szCs w:val="22"/>
        </w:rPr>
        <w:fldChar w:fldCharType="begin"/>
      </w:r>
      <w:r w:rsidR="000B693F" w:rsidRPr="00F61F1B">
        <w:rPr>
          <w:rFonts w:ascii="Arial" w:hAnsi="Arial" w:cs="Arial"/>
          <w:color w:val="392B7D"/>
          <w:sz w:val="22"/>
          <w:szCs w:val="22"/>
        </w:rPr>
        <w:instrText xml:space="preserve"> HYPERLINK "https://auspublaw.org/2016/03/justifications-for-initiating-a-constitutional-amendment/" \l "_edn2" </w:instrText>
      </w:r>
      <w:r w:rsidR="000B693F" w:rsidRPr="00F61F1B">
        <w:rPr>
          <w:rFonts w:ascii="Arial" w:hAnsi="Arial" w:cs="Arial"/>
          <w:color w:val="392B7D"/>
          <w:sz w:val="22"/>
          <w:szCs w:val="22"/>
        </w:rPr>
        <w:fldChar w:fldCharType="separate"/>
      </w:r>
      <w:r w:rsidR="0060461C" w:rsidRPr="00F61F1B">
        <w:rPr>
          <w:rFonts w:ascii="Arial" w:hAnsi="Arial" w:cs="Arial"/>
          <w:color w:val="392B7D"/>
          <w:sz w:val="22"/>
          <w:szCs w:val="22"/>
        </w:rPr>
        <w:t>[</w:t>
      </w:r>
      <w:r w:rsidR="003C3645" w:rsidRPr="00F61F1B">
        <w:rPr>
          <w:rStyle w:val="EndnoteReference"/>
          <w:rFonts w:ascii="Arial" w:hAnsi="Arial" w:cs="Arial"/>
          <w:color w:val="392B7D"/>
          <w:sz w:val="22"/>
          <w:szCs w:val="22"/>
          <w:vertAlign w:val="baseline"/>
        </w:rPr>
        <w:endnoteReference w:id="4"/>
      </w:r>
      <w:r w:rsidR="000B693F" w:rsidRPr="00F61F1B">
        <w:rPr>
          <w:rFonts w:ascii="Arial" w:hAnsi="Arial" w:cs="Arial"/>
          <w:color w:val="392B7D"/>
          <w:sz w:val="22"/>
          <w:szCs w:val="22"/>
        </w:rPr>
        <w:t>]</w:t>
      </w:r>
      <w:r w:rsidR="000B693F" w:rsidRPr="00F61F1B">
        <w:rPr>
          <w:rFonts w:ascii="Arial" w:hAnsi="Arial" w:cs="Arial"/>
          <w:color w:val="392B7D"/>
          <w:sz w:val="22"/>
          <w:szCs w:val="22"/>
        </w:rPr>
        <w:fldChar w:fldCharType="end"/>
      </w:r>
      <w:bookmarkEnd w:id="1"/>
      <w:r w:rsidR="00874BF1" w:rsidRPr="00F61F1B">
        <w:rPr>
          <w:rFonts w:ascii="Arial" w:hAnsi="Arial" w:cs="Arial"/>
          <w:color w:val="444444"/>
          <w:sz w:val="22"/>
          <w:szCs w:val="22"/>
        </w:rPr>
        <w:t xml:space="preserve"> </w:t>
      </w:r>
      <w:r w:rsidRPr="00F61F1B">
        <w:rPr>
          <w:rFonts w:ascii="Arial" w:hAnsi="Arial" w:cs="Arial"/>
          <w:sz w:val="22"/>
          <w:szCs w:val="22"/>
        </w:rPr>
        <w:t>involved variations on the theme of compulsory unionism.</w:t>
      </w:r>
      <w:r w:rsidR="004E5B8B">
        <w:rPr>
          <w:rFonts w:ascii="Arial" w:hAnsi="Arial" w:cs="Arial"/>
          <w:sz w:val="22"/>
          <w:szCs w:val="22"/>
        </w:rPr>
        <w:t xml:space="preserve"> </w:t>
      </w:r>
      <w:r w:rsidR="008D65EA" w:rsidRPr="00F61F1B">
        <w:rPr>
          <w:rFonts w:ascii="Arial" w:hAnsi="Arial" w:cs="Arial"/>
          <w:sz w:val="22"/>
          <w:szCs w:val="22"/>
        </w:rPr>
        <w:t>Almost forty years earlier, in</w:t>
      </w:r>
      <w:r w:rsidRPr="00F61F1B">
        <w:rPr>
          <w:rFonts w:ascii="Arial" w:hAnsi="Arial" w:cs="Arial"/>
          <w:sz w:val="22"/>
          <w:szCs w:val="22"/>
        </w:rPr>
        <w:t xml:space="preserve"> </w:t>
      </w:r>
      <w:proofErr w:type="spellStart"/>
      <w:r w:rsidRPr="00F61F1B">
        <w:rPr>
          <w:rFonts w:ascii="Arial" w:hAnsi="Arial" w:cs="Arial"/>
          <w:i/>
          <w:sz w:val="22"/>
          <w:szCs w:val="22"/>
        </w:rPr>
        <w:t>Abood</w:t>
      </w:r>
      <w:proofErr w:type="spellEnd"/>
      <w:r w:rsidRPr="00F61F1B">
        <w:rPr>
          <w:rFonts w:ascii="Arial" w:hAnsi="Arial" w:cs="Arial"/>
          <w:i/>
          <w:sz w:val="22"/>
          <w:szCs w:val="22"/>
        </w:rPr>
        <w:t xml:space="preserve"> v Detroit Board of Education</w:t>
      </w:r>
      <w:r w:rsidRPr="00F61F1B">
        <w:rPr>
          <w:rFonts w:ascii="Arial" w:hAnsi="Arial" w:cs="Arial"/>
          <w:sz w:val="22"/>
          <w:szCs w:val="22"/>
        </w:rPr>
        <w:t>,</w:t>
      </w:r>
      <w:bookmarkStart w:id="2" w:name="_ednref3"/>
      <w:r w:rsidR="00D12259" w:rsidRPr="00F61F1B">
        <w:rPr>
          <w:rFonts w:ascii="Arial" w:hAnsi="Arial" w:cs="Arial"/>
          <w:color w:val="392B7D"/>
          <w:sz w:val="22"/>
          <w:szCs w:val="22"/>
        </w:rPr>
        <w:fldChar w:fldCharType="begin"/>
      </w:r>
      <w:r w:rsidR="00D12259" w:rsidRPr="00F61F1B">
        <w:rPr>
          <w:rFonts w:ascii="Arial" w:hAnsi="Arial" w:cs="Arial"/>
          <w:color w:val="392B7D"/>
          <w:sz w:val="22"/>
          <w:szCs w:val="22"/>
        </w:rPr>
        <w:instrText xml:space="preserve"> HYPERLINK "https://auspublaw.org/2016/03/justifications-for-initiating-a-constitutional-amendment/" \l "_edn3" </w:instrText>
      </w:r>
      <w:r w:rsidR="00D12259" w:rsidRPr="00F61F1B">
        <w:rPr>
          <w:rFonts w:ascii="Arial" w:hAnsi="Arial" w:cs="Arial"/>
          <w:color w:val="392B7D"/>
          <w:sz w:val="22"/>
          <w:szCs w:val="22"/>
        </w:rPr>
        <w:fldChar w:fldCharType="separate"/>
      </w:r>
      <w:r w:rsidR="00D12259" w:rsidRPr="00F61F1B">
        <w:rPr>
          <w:rFonts w:ascii="Arial" w:hAnsi="Arial" w:cs="Arial"/>
          <w:color w:val="392B7D"/>
          <w:sz w:val="22"/>
          <w:szCs w:val="22"/>
        </w:rPr>
        <w:t>[</w:t>
      </w:r>
      <w:r w:rsidR="00370376" w:rsidRPr="00F61F1B">
        <w:rPr>
          <w:rStyle w:val="EndnoteReference"/>
          <w:rFonts w:ascii="Arial" w:hAnsi="Arial" w:cs="Arial"/>
          <w:color w:val="392B7D"/>
          <w:sz w:val="22"/>
          <w:szCs w:val="22"/>
          <w:vertAlign w:val="baseline"/>
        </w:rPr>
        <w:endnoteReference w:id="5"/>
      </w:r>
      <w:r w:rsidR="00D12259" w:rsidRPr="00F61F1B">
        <w:rPr>
          <w:rFonts w:ascii="Arial" w:hAnsi="Arial" w:cs="Arial"/>
          <w:color w:val="392B7D"/>
          <w:sz w:val="22"/>
          <w:szCs w:val="22"/>
        </w:rPr>
        <w:t>]</w:t>
      </w:r>
      <w:r w:rsidR="00D12259" w:rsidRPr="00F61F1B">
        <w:rPr>
          <w:rFonts w:ascii="Arial" w:hAnsi="Arial" w:cs="Arial"/>
          <w:color w:val="392B7D"/>
          <w:sz w:val="22"/>
          <w:szCs w:val="22"/>
        </w:rPr>
        <w:fldChar w:fldCharType="end"/>
      </w:r>
      <w:bookmarkEnd w:id="2"/>
      <w:r w:rsidRPr="00F61F1B">
        <w:rPr>
          <w:rFonts w:ascii="Arial" w:hAnsi="Arial" w:cs="Arial"/>
          <w:sz w:val="22"/>
          <w:szCs w:val="22"/>
        </w:rPr>
        <w:t xml:space="preserve"> the Court had held that a trade union in the public sector (in that case a teachers’ union) could levy non-union members with an “agency fee” to support collective bargaining, though no non-member could be required “to contribute to the support of an ideological cause he may oppose as a condition of holding a job as a public school teacher”.</w:t>
      </w:r>
      <w:r w:rsidR="004E5B8B">
        <w:rPr>
          <w:rFonts w:ascii="Arial" w:hAnsi="Arial" w:cs="Arial"/>
          <w:sz w:val="22"/>
          <w:szCs w:val="22"/>
        </w:rPr>
        <w:t xml:space="preserve"> </w:t>
      </w:r>
      <w:r w:rsidRPr="00F61F1B">
        <w:rPr>
          <w:rFonts w:ascii="Arial" w:hAnsi="Arial" w:cs="Arial"/>
          <w:sz w:val="22"/>
          <w:szCs w:val="22"/>
        </w:rPr>
        <w:t>The decision was unanimous, and was based on earlier precedents in the private sector.</w:t>
      </w:r>
    </w:p>
    <w:p w14:paraId="085038BD" w14:textId="77777777" w:rsidR="000B693F" w:rsidRPr="00F61F1B" w:rsidRDefault="000B693F" w:rsidP="00F61F1B">
      <w:pPr>
        <w:spacing w:after="0" w:line="300" w:lineRule="exact"/>
        <w:rPr>
          <w:rFonts w:ascii="Arial" w:hAnsi="Arial" w:cs="Arial"/>
        </w:rPr>
      </w:pPr>
    </w:p>
    <w:p w14:paraId="089D67A8" w14:textId="2E14C741" w:rsidR="000B693F" w:rsidRPr="00F61F1B" w:rsidRDefault="008D65EA" w:rsidP="00F61F1B">
      <w:pPr>
        <w:pStyle w:val="NormalWeb"/>
        <w:shd w:val="clear" w:color="auto" w:fill="FFFFFF"/>
        <w:spacing w:before="0" w:beforeAutospacing="0" w:after="0" w:afterAutospacing="0" w:line="300" w:lineRule="exact"/>
        <w:rPr>
          <w:rFonts w:ascii="Arial" w:hAnsi="Arial" w:cs="Arial"/>
          <w:sz w:val="22"/>
          <w:szCs w:val="22"/>
        </w:rPr>
      </w:pPr>
      <w:r w:rsidRPr="00F61F1B">
        <w:rPr>
          <w:rFonts w:ascii="Arial" w:hAnsi="Arial" w:cs="Arial"/>
          <w:sz w:val="22"/>
          <w:szCs w:val="22"/>
        </w:rPr>
        <w:t>Two years ago, that decision was whittled down.</w:t>
      </w:r>
      <w:r w:rsidR="004E5B8B">
        <w:rPr>
          <w:rFonts w:ascii="Arial" w:hAnsi="Arial" w:cs="Arial"/>
          <w:sz w:val="22"/>
          <w:szCs w:val="22"/>
        </w:rPr>
        <w:t xml:space="preserve"> </w:t>
      </w:r>
      <w:r w:rsidR="00AF7EB8" w:rsidRPr="00F61F1B">
        <w:rPr>
          <w:rFonts w:ascii="Arial" w:hAnsi="Arial" w:cs="Arial"/>
          <w:sz w:val="22"/>
          <w:szCs w:val="22"/>
        </w:rPr>
        <w:t xml:space="preserve">In </w:t>
      </w:r>
      <w:r w:rsidR="00AF7EB8" w:rsidRPr="00F61F1B">
        <w:rPr>
          <w:rFonts w:ascii="Arial" w:hAnsi="Arial" w:cs="Arial"/>
          <w:i/>
          <w:sz w:val="22"/>
          <w:szCs w:val="22"/>
        </w:rPr>
        <w:t>Harris v Quinn</w:t>
      </w:r>
      <w:r w:rsidR="00AF7EB8" w:rsidRPr="00F61F1B">
        <w:rPr>
          <w:rFonts w:ascii="Arial" w:hAnsi="Arial" w:cs="Arial"/>
          <w:sz w:val="22"/>
          <w:szCs w:val="22"/>
        </w:rPr>
        <w:t>,</w:t>
      </w:r>
      <w:bookmarkStart w:id="3" w:name="_ednref4"/>
      <w:r w:rsidR="00D12259" w:rsidRPr="00F61F1B">
        <w:rPr>
          <w:rFonts w:ascii="Arial" w:hAnsi="Arial" w:cs="Arial"/>
          <w:color w:val="392B7D"/>
          <w:sz w:val="22"/>
          <w:szCs w:val="22"/>
        </w:rPr>
        <w:fldChar w:fldCharType="begin"/>
      </w:r>
      <w:r w:rsidR="00D12259" w:rsidRPr="00F61F1B">
        <w:rPr>
          <w:rFonts w:ascii="Arial" w:hAnsi="Arial" w:cs="Arial"/>
          <w:color w:val="392B7D"/>
          <w:sz w:val="22"/>
          <w:szCs w:val="22"/>
        </w:rPr>
        <w:instrText xml:space="preserve"> HYPERLINK "https://auspublaw.org/2016/03/justifications-for-initiating-a-constitutional-amendment/" \l "_edn4" </w:instrText>
      </w:r>
      <w:r w:rsidR="00D12259" w:rsidRPr="00F61F1B">
        <w:rPr>
          <w:rFonts w:ascii="Arial" w:hAnsi="Arial" w:cs="Arial"/>
          <w:color w:val="392B7D"/>
          <w:sz w:val="22"/>
          <w:szCs w:val="22"/>
        </w:rPr>
        <w:fldChar w:fldCharType="separate"/>
      </w:r>
      <w:r w:rsidR="0061356C" w:rsidRPr="00F61F1B">
        <w:rPr>
          <w:rFonts w:ascii="Arial" w:hAnsi="Arial" w:cs="Arial"/>
          <w:color w:val="392B7D"/>
          <w:sz w:val="22"/>
          <w:szCs w:val="22"/>
        </w:rPr>
        <w:t>[</w:t>
      </w:r>
      <w:r w:rsidR="00BB7460" w:rsidRPr="00F61F1B">
        <w:rPr>
          <w:rStyle w:val="EndnoteReference"/>
          <w:rFonts w:ascii="Arial" w:hAnsi="Arial" w:cs="Arial"/>
          <w:color w:val="392B7D"/>
          <w:sz w:val="22"/>
          <w:szCs w:val="22"/>
          <w:vertAlign w:val="baseline"/>
        </w:rPr>
        <w:endnoteReference w:id="6"/>
      </w:r>
      <w:r w:rsidR="00D12259" w:rsidRPr="00F61F1B">
        <w:rPr>
          <w:rFonts w:ascii="Arial" w:hAnsi="Arial" w:cs="Arial"/>
          <w:color w:val="392B7D"/>
          <w:sz w:val="22"/>
          <w:szCs w:val="22"/>
        </w:rPr>
        <w:t>]</w:t>
      </w:r>
      <w:r w:rsidR="00D12259" w:rsidRPr="00F61F1B">
        <w:rPr>
          <w:rFonts w:ascii="Arial" w:hAnsi="Arial" w:cs="Arial"/>
          <w:color w:val="392B7D"/>
          <w:sz w:val="22"/>
          <w:szCs w:val="22"/>
        </w:rPr>
        <w:fldChar w:fldCharType="end"/>
      </w:r>
      <w:bookmarkEnd w:id="3"/>
      <w:r w:rsidR="00AF7EB8" w:rsidRPr="00F61F1B">
        <w:rPr>
          <w:rFonts w:ascii="Arial" w:hAnsi="Arial" w:cs="Arial"/>
          <w:sz w:val="22"/>
          <w:szCs w:val="22"/>
        </w:rPr>
        <w:t xml:space="preserve"> the Court held by 5:4 that no such fee could be imposed on workers in a health care union, on the ground that although their employment was publicly funded they were hired by individual patients, and were therefore not fully-fledged state employees.</w:t>
      </w:r>
      <w:r w:rsidR="004E5B8B">
        <w:rPr>
          <w:rFonts w:ascii="Arial" w:hAnsi="Arial" w:cs="Arial"/>
          <w:sz w:val="22"/>
          <w:szCs w:val="22"/>
        </w:rPr>
        <w:t xml:space="preserve"> </w:t>
      </w:r>
      <w:r w:rsidR="00AF7EB8" w:rsidRPr="00F61F1B">
        <w:rPr>
          <w:rFonts w:ascii="Arial" w:hAnsi="Arial" w:cs="Arial"/>
          <w:sz w:val="22"/>
          <w:szCs w:val="22"/>
        </w:rPr>
        <w:t xml:space="preserve">The usual bloc of four “liberal” Justices (Ruth Bader Ginsburg, Stephen </w:t>
      </w:r>
      <w:proofErr w:type="spellStart"/>
      <w:r w:rsidR="00AF7EB8" w:rsidRPr="00F61F1B">
        <w:rPr>
          <w:rFonts w:ascii="Arial" w:hAnsi="Arial" w:cs="Arial"/>
          <w:sz w:val="22"/>
          <w:szCs w:val="22"/>
        </w:rPr>
        <w:t>Breyer</w:t>
      </w:r>
      <w:proofErr w:type="spellEnd"/>
      <w:r w:rsidRPr="00F61F1B">
        <w:rPr>
          <w:rFonts w:ascii="Arial" w:hAnsi="Arial" w:cs="Arial"/>
          <w:sz w:val="22"/>
          <w:szCs w:val="22"/>
        </w:rPr>
        <w:t>,</w:t>
      </w:r>
      <w:r w:rsidR="00AF7EB8" w:rsidRPr="00F61F1B">
        <w:rPr>
          <w:rFonts w:ascii="Arial" w:hAnsi="Arial" w:cs="Arial"/>
          <w:sz w:val="22"/>
          <w:szCs w:val="22"/>
        </w:rPr>
        <w:t xml:space="preserve"> Sonia So</w:t>
      </w:r>
      <w:r w:rsidR="00594A8D">
        <w:rPr>
          <w:rFonts w:ascii="Arial" w:hAnsi="Arial" w:cs="Arial"/>
          <w:sz w:val="22"/>
          <w:szCs w:val="22"/>
        </w:rPr>
        <w:t>t</w:t>
      </w:r>
      <w:r w:rsidR="00AF7EB8" w:rsidRPr="00F61F1B">
        <w:rPr>
          <w:rFonts w:ascii="Arial" w:hAnsi="Arial" w:cs="Arial"/>
          <w:sz w:val="22"/>
          <w:szCs w:val="22"/>
        </w:rPr>
        <w:t>omayor</w:t>
      </w:r>
      <w:r w:rsidRPr="00F61F1B">
        <w:rPr>
          <w:rFonts w:ascii="Arial" w:hAnsi="Arial" w:cs="Arial"/>
          <w:sz w:val="22"/>
          <w:szCs w:val="22"/>
        </w:rPr>
        <w:t xml:space="preserve"> and Elena </w:t>
      </w:r>
      <w:proofErr w:type="spellStart"/>
      <w:r w:rsidRPr="00F61F1B">
        <w:rPr>
          <w:rFonts w:ascii="Arial" w:hAnsi="Arial" w:cs="Arial"/>
          <w:sz w:val="22"/>
          <w:szCs w:val="22"/>
        </w:rPr>
        <w:t>Kagan</w:t>
      </w:r>
      <w:proofErr w:type="spellEnd"/>
      <w:r w:rsidR="00AF7EB8" w:rsidRPr="00F61F1B">
        <w:rPr>
          <w:rFonts w:ascii="Arial" w:hAnsi="Arial" w:cs="Arial"/>
          <w:sz w:val="22"/>
          <w:szCs w:val="22"/>
        </w:rPr>
        <w:t xml:space="preserve">) protested that </w:t>
      </w:r>
      <w:proofErr w:type="spellStart"/>
      <w:r w:rsidR="00AF7EB8" w:rsidRPr="00F61F1B">
        <w:rPr>
          <w:rFonts w:ascii="Arial" w:hAnsi="Arial" w:cs="Arial"/>
          <w:i/>
          <w:sz w:val="22"/>
          <w:szCs w:val="22"/>
        </w:rPr>
        <w:t>Abood</w:t>
      </w:r>
      <w:proofErr w:type="spellEnd"/>
      <w:r w:rsidR="00AF7EB8" w:rsidRPr="00F61F1B">
        <w:rPr>
          <w:rFonts w:ascii="Arial" w:hAnsi="Arial" w:cs="Arial"/>
          <w:sz w:val="22"/>
          <w:szCs w:val="22"/>
        </w:rPr>
        <w:t xml:space="preserve"> should not be distinguished </w:t>
      </w:r>
      <w:r w:rsidRPr="00F61F1B">
        <w:rPr>
          <w:rFonts w:ascii="Arial" w:hAnsi="Arial" w:cs="Arial"/>
          <w:sz w:val="22"/>
          <w:szCs w:val="22"/>
        </w:rPr>
        <w:t>in this way</w:t>
      </w:r>
      <w:r w:rsidR="00AF7EB8" w:rsidRPr="00F61F1B">
        <w:rPr>
          <w:rFonts w:ascii="Arial" w:hAnsi="Arial" w:cs="Arial"/>
          <w:sz w:val="22"/>
          <w:szCs w:val="22"/>
        </w:rPr>
        <w:t>, but should be strictly applied.</w:t>
      </w:r>
      <w:r w:rsidR="004E5B8B">
        <w:rPr>
          <w:rFonts w:ascii="Arial" w:hAnsi="Arial" w:cs="Arial"/>
          <w:sz w:val="22"/>
          <w:szCs w:val="22"/>
        </w:rPr>
        <w:t xml:space="preserve"> </w:t>
      </w:r>
      <w:r w:rsidR="00AF7EB8" w:rsidRPr="00F61F1B">
        <w:rPr>
          <w:rFonts w:ascii="Arial" w:hAnsi="Arial" w:cs="Arial"/>
          <w:sz w:val="22"/>
          <w:szCs w:val="22"/>
        </w:rPr>
        <w:t>By contrast</w:t>
      </w:r>
      <w:r w:rsidRPr="00F61F1B">
        <w:rPr>
          <w:rFonts w:ascii="Arial" w:hAnsi="Arial" w:cs="Arial"/>
          <w:sz w:val="22"/>
          <w:szCs w:val="22"/>
        </w:rPr>
        <w:t>,</w:t>
      </w:r>
      <w:r w:rsidR="00AF7EB8" w:rsidRPr="00F61F1B">
        <w:rPr>
          <w:rFonts w:ascii="Arial" w:hAnsi="Arial" w:cs="Arial"/>
          <w:sz w:val="22"/>
          <w:szCs w:val="22"/>
        </w:rPr>
        <w:t xml:space="preserve"> the five-judge majority launched a scathing attack on </w:t>
      </w:r>
      <w:proofErr w:type="spellStart"/>
      <w:r w:rsidR="00AF7EB8" w:rsidRPr="00F61F1B">
        <w:rPr>
          <w:rFonts w:ascii="Arial" w:hAnsi="Arial" w:cs="Arial"/>
          <w:i/>
          <w:sz w:val="22"/>
          <w:szCs w:val="22"/>
        </w:rPr>
        <w:t>Abood</w:t>
      </w:r>
      <w:proofErr w:type="spellEnd"/>
      <w:r w:rsidR="00AF7EB8" w:rsidRPr="00F61F1B">
        <w:rPr>
          <w:rFonts w:ascii="Arial" w:hAnsi="Arial" w:cs="Arial"/>
          <w:sz w:val="22"/>
          <w:szCs w:val="22"/>
        </w:rPr>
        <w:t xml:space="preserve">, dismissing it as “something of an anomaly”, and “questionable on several grounds” </w:t>
      </w:r>
      <w:r w:rsidRPr="00F61F1B">
        <w:rPr>
          <w:rFonts w:ascii="Arial" w:hAnsi="Arial" w:cs="Arial"/>
          <w:sz w:val="22"/>
          <w:szCs w:val="22"/>
        </w:rPr>
        <w:t>(</w:t>
      </w:r>
      <w:r w:rsidR="00AF7EB8" w:rsidRPr="00F61F1B">
        <w:rPr>
          <w:rFonts w:ascii="Arial" w:hAnsi="Arial" w:cs="Arial"/>
          <w:sz w:val="22"/>
          <w:szCs w:val="22"/>
        </w:rPr>
        <w:t>which were then set out at length</w:t>
      </w:r>
      <w:r w:rsidRPr="00F61F1B">
        <w:rPr>
          <w:rFonts w:ascii="Arial" w:hAnsi="Arial" w:cs="Arial"/>
          <w:sz w:val="22"/>
          <w:szCs w:val="22"/>
        </w:rPr>
        <w:t>)</w:t>
      </w:r>
      <w:r w:rsidR="00AF7EB8" w:rsidRPr="00F61F1B">
        <w:rPr>
          <w:rFonts w:ascii="Arial" w:hAnsi="Arial" w:cs="Arial"/>
          <w:sz w:val="22"/>
          <w:szCs w:val="22"/>
        </w:rPr>
        <w:t>.</w:t>
      </w:r>
      <w:r w:rsidR="004E5B8B">
        <w:rPr>
          <w:rFonts w:ascii="Arial" w:hAnsi="Arial" w:cs="Arial"/>
          <w:sz w:val="22"/>
          <w:szCs w:val="22"/>
        </w:rPr>
        <w:t xml:space="preserve"> </w:t>
      </w:r>
      <w:r w:rsidR="00AF7EB8" w:rsidRPr="00F61F1B">
        <w:rPr>
          <w:rFonts w:ascii="Arial" w:hAnsi="Arial" w:cs="Arial"/>
          <w:sz w:val="22"/>
          <w:szCs w:val="22"/>
        </w:rPr>
        <w:t xml:space="preserve">The Opinion of the Court was delivered by Justice Samuel Alito, predictably joined by </w:t>
      </w:r>
      <w:r w:rsidR="00CE32F1">
        <w:rPr>
          <w:rFonts w:ascii="Arial" w:hAnsi="Arial" w:cs="Arial"/>
          <w:sz w:val="22"/>
          <w:szCs w:val="22"/>
        </w:rPr>
        <w:t xml:space="preserve">Justice </w:t>
      </w:r>
      <w:r w:rsidR="00AF7EB8" w:rsidRPr="00F61F1B">
        <w:rPr>
          <w:rFonts w:ascii="Arial" w:hAnsi="Arial" w:cs="Arial"/>
          <w:sz w:val="22"/>
          <w:szCs w:val="22"/>
        </w:rPr>
        <w:t>Scalia and the other two “conservative” Justices (Chief Justice John Roberts and Justice Clarence Thomas), and also by the Court’s</w:t>
      </w:r>
      <w:r w:rsidR="00594A8D">
        <w:rPr>
          <w:rFonts w:ascii="Arial" w:hAnsi="Arial" w:cs="Arial"/>
          <w:sz w:val="22"/>
          <w:szCs w:val="22"/>
        </w:rPr>
        <w:t xml:space="preserve"> (conservative)</w:t>
      </w:r>
      <w:r w:rsidR="00AF7EB8" w:rsidRPr="00F61F1B">
        <w:rPr>
          <w:rFonts w:ascii="Arial" w:hAnsi="Arial" w:cs="Arial"/>
          <w:sz w:val="22"/>
          <w:szCs w:val="22"/>
        </w:rPr>
        <w:t xml:space="preserve"> “swing voter”, Justice Anthony Kennedy.</w:t>
      </w:r>
    </w:p>
    <w:p w14:paraId="199E45F7" w14:textId="77777777" w:rsidR="000B693F" w:rsidRPr="00F61F1B" w:rsidRDefault="000B693F" w:rsidP="00F61F1B">
      <w:pPr>
        <w:spacing w:after="0" w:line="300" w:lineRule="exact"/>
        <w:rPr>
          <w:rFonts w:ascii="Arial" w:hAnsi="Arial" w:cs="Arial"/>
        </w:rPr>
      </w:pPr>
    </w:p>
    <w:p w14:paraId="67EED577" w14:textId="11E61C79" w:rsidR="00E55FCB" w:rsidRPr="00F61F1B" w:rsidRDefault="00E55FCB" w:rsidP="00F61F1B">
      <w:pPr>
        <w:pStyle w:val="NormalWeb"/>
        <w:shd w:val="clear" w:color="auto" w:fill="FFFFFF"/>
        <w:spacing w:before="0" w:beforeAutospacing="0" w:after="0" w:afterAutospacing="0" w:line="300" w:lineRule="exact"/>
        <w:rPr>
          <w:rFonts w:ascii="Arial" w:hAnsi="Arial" w:cs="Arial"/>
          <w:sz w:val="22"/>
          <w:szCs w:val="22"/>
        </w:rPr>
      </w:pPr>
      <w:r w:rsidRPr="00F61F1B">
        <w:rPr>
          <w:rFonts w:ascii="Arial" w:hAnsi="Arial" w:cs="Arial"/>
          <w:sz w:val="22"/>
          <w:szCs w:val="22"/>
        </w:rPr>
        <w:t xml:space="preserve">The inevitable result was an immediate test case (again involving a teachers’ union) demanding that </w:t>
      </w:r>
      <w:proofErr w:type="spellStart"/>
      <w:r w:rsidRPr="00F61F1B">
        <w:rPr>
          <w:rFonts w:ascii="Arial" w:hAnsi="Arial" w:cs="Arial"/>
          <w:i/>
          <w:sz w:val="22"/>
          <w:szCs w:val="22"/>
        </w:rPr>
        <w:t>Abood</w:t>
      </w:r>
      <w:proofErr w:type="spellEnd"/>
      <w:r w:rsidRPr="00F61F1B">
        <w:rPr>
          <w:rFonts w:ascii="Arial" w:hAnsi="Arial" w:cs="Arial"/>
          <w:sz w:val="22"/>
          <w:szCs w:val="22"/>
        </w:rPr>
        <w:t xml:space="preserve"> be overruled.</w:t>
      </w:r>
      <w:r w:rsidR="004E5B8B">
        <w:rPr>
          <w:rFonts w:ascii="Arial" w:hAnsi="Arial" w:cs="Arial"/>
          <w:sz w:val="22"/>
          <w:szCs w:val="22"/>
        </w:rPr>
        <w:t xml:space="preserve"> </w:t>
      </w:r>
      <w:r w:rsidRPr="00F61F1B">
        <w:rPr>
          <w:rFonts w:ascii="Arial" w:hAnsi="Arial" w:cs="Arial"/>
          <w:sz w:val="22"/>
          <w:szCs w:val="22"/>
        </w:rPr>
        <w:t xml:space="preserve">When the case was argued in January, Scalia was still sitting, and all nine of the Justices seemed disposed to adhere to their positions in </w:t>
      </w:r>
      <w:r w:rsidRPr="00F61F1B">
        <w:rPr>
          <w:rFonts w:ascii="Arial" w:hAnsi="Arial" w:cs="Arial"/>
          <w:i/>
          <w:sz w:val="22"/>
          <w:szCs w:val="22"/>
        </w:rPr>
        <w:t>Harris v Quinn</w:t>
      </w:r>
      <w:r w:rsidRPr="00F61F1B">
        <w:rPr>
          <w:rFonts w:ascii="Arial" w:hAnsi="Arial" w:cs="Arial"/>
          <w:sz w:val="22"/>
          <w:szCs w:val="22"/>
        </w:rPr>
        <w:t>.</w:t>
      </w:r>
      <w:r w:rsidR="004E5B8B">
        <w:rPr>
          <w:rFonts w:ascii="Arial" w:hAnsi="Arial" w:cs="Arial"/>
          <w:sz w:val="22"/>
          <w:szCs w:val="22"/>
        </w:rPr>
        <w:t xml:space="preserve"> </w:t>
      </w:r>
      <w:r w:rsidRPr="00F61F1B">
        <w:rPr>
          <w:rFonts w:ascii="Arial" w:hAnsi="Arial" w:cs="Arial"/>
          <w:sz w:val="22"/>
          <w:szCs w:val="22"/>
        </w:rPr>
        <w:t xml:space="preserve">Evidently most of them went on to do so – because now, with the number of Justices </w:t>
      </w:r>
      <w:r w:rsidRPr="00F61F1B">
        <w:rPr>
          <w:rFonts w:ascii="Arial" w:hAnsi="Arial" w:cs="Arial"/>
          <w:sz w:val="22"/>
          <w:szCs w:val="22"/>
        </w:rPr>
        <w:lastRenderedPageBreak/>
        <w:t>reduced to eight, the outcome announced on 29 March was an evenly divided Court.</w:t>
      </w:r>
      <w:r w:rsidR="004E5B8B">
        <w:rPr>
          <w:rFonts w:ascii="Arial" w:hAnsi="Arial" w:cs="Arial"/>
          <w:sz w:val="22"/>
          <w:szCs w:val="22"/>
        </w:rPr>
        <w:t xml:space="preserve"> </w:t>
      </w:r>
      <w:r w:rsidRPr="00F61F1B">
        <w:rPr>
          <w:rFonts w:ascii="Arial" w:hAnsi="Arial" w:cs="Arial"/>
          <w:sz w:val="22"/>
          <w:szCs w:val="22"/>
        </w:rPr>
        <w:t>Here, too, this meant that the decision below was affirmed: the union “agency fee” was valid.</w:t>
      </w:r>
    </w:p>
    <w:p w14:paraId="50803409" w14:textId="77777777" w:rsidR="00E55FCB" w:rsidRPr="00F61F1B" w:rsidRDefault="00E55FCB" w:rsidP="00F61F1B">
      <w:pPr>
        <w:pStyle w:val="NormalWeb"/>
        <w:shd w:val="clear" w:color="auto" w:fill="FFFFFF"/>
        <w:spacing w:before="0" w:beforeAutospacing="0" w:after="0" w:afterAutospacing="0" w:line="300" w:lineRule="exact"/>
        <w:rPr>
          <w:rFonts w:ascii="Arial" w:hAnsi="Arial" w:cs="Arial"/>
          <w:sz w:val="22"/>
          <w:szCs w:val="22"/>
        </w:rPr>
      </w:pPr>
    </w:p>
    <w:p w14:paraId="61591622" w14:textId="18A3E4B4" w:rsidR="00CE32F1" w:rsidRDefault="00E55FCB" w:rsidP="00F61F1B">
      <w:pPr>
        <w:pStyle w:val="NormalWeb"/>
        <w:shd w:val="clear" w:color="auto" w:fill="FFFFFF"/>
        <w:spacing w:before="0" w:beforeAutospacing="0" w:after="0" w:afterAutospacing="0" w:line="300" w:lineRule="exact"/>
        <w:rPr>
          <w:rFonts w:ascii="Arial" w:hAnsi="Arial" w:cs="Arial"/>
          <w:sz w:val="22"/>
          <w:szCs w:val="22"/>
          <w:lang w:val="en-US"/>
        </w:rPr>
      </w:pPr>
      <w:r w:rsidRPr="00F61F1B">
        <w:rPr>
          <w:rFonts w:ascii="Arial" w:hAnsi="Arial" w:cs="Arial"/>
          <w:sz w:val="22"/>
          <w:szCs w:val="22"/>
        </w:rPr>
        <w:t>Immediately there were reports that the petitioners might apply for the case to be reconsidered.</w:t>
      </w:r>
      <w:r w:rsidR="004E5B8B">
        <w:rPr>
          <w:rFonts w:ascii="Arial" w:hAnsi="Arial" w:cs="Arial"/>
          <w:sz w:val="22"/>
          <w:szCs w:val="22"/>
        </w:rPr>
        <w:t xml:space="preserve"> </w:t>
      </w:r>
      <w:r w:rsidR="00F66E54" w:rsidRPr="00F61F1B">
        <w:rPr>
          <w:rFonts w:ascii="Arial" w:hAnsi="Arial" w:cs="Arial"/>
          <w:sz w:val="22"/>
          <w:szCs w:val="22"/>
        </w:rPr>
        <w:t>I</w:t>
      </w:r>
      <w:r w:rsidRPr="00F61F1B">
        <w:rPr>
          <w:rFonts w:ascii="Arial" w:hAnsi="Arial" w:cs="Arial"/>
          <w:sz w:val="22"/>
          <w:szCs w:val="22"/>
        </w:rPr>
        <w:t>nitially the efficacy of such an application seemed doubtful</w:t>
      </w:r>
      <w:r w:rsidR="00F66E54" w:rsidRPr="00F61F1B">
        <w:rPr>
          <w:rFonts w:ascii="Arial" w:hAnsi="Arial" w:cs="Arial"/>
          <w:sz w:val="22"/>
          <w:szCs w:val="22"/>
        </w:rPr>
        <w:t>:</w:t>
      </w:r>
      <w:r w:rsidRPr="00F61F1B">
        <w:rPr>
          <w:rFonts w:ascii="Arial" w:hAnsi="Arial" w:cs="Arial"/>
          <w:sz w:val="22"/>
          <w:szCs w:val="22"/>
        </w:rPr>
        <w:t xml:space="preserve"> </w:t>
      </w:r>
      <w:r w:rsidR="00F66E54" w:rsidRPr="00F61F1B">
        <w:rPr>
          <w:rFonts w:ascii="Arial" w:hAnsi="Arial" w:cs="Arial"/>
          <w:sz w:val="22"/>
          <w:szCs w:val="22"/>
        </w:rPr>
        <w:t>f</w:t>
      </w:r>
      <w:r w:rsidRPr="00F61F1B">
        <w:rPr>
          <w:rFonts w:ascii="Arial" w:hAnsi="Arial" w:cs="Arial"/>
          <w:sz w:val="22"/>
          <w:szCs w:val="22"/>
        </w:rPr>
        <w:t>or one thing, to conduct a rehearing while the number of Justices remains at eight would seem likely to make little difference.</w:t>
      </w:r>
      <w:r w:rsidR="004E5B8B">
        <w:rPr>
          <w:rFonts w:ascii="Arial" w:hAnsi="Arial" w:cs="Arial"/>
          <w:sz w:val="22"/>
          <w:szCs w:val="22"/>
        </w:rPr>
        <w:t xml:space="preserve"> </w:t>
      </w:r>
      <w:r w:rsidRPr="00F61F1B">
        <w:rPr>
          <w:rFonts w:ascii="Arial" w:hAnsi="Arial" w:cs="Arial"/>
          <w:sz w:val="22"/>
          <w:szCs w:val="22"/>
        </w:rPr>
        <w:t>When a petition for rehearing did in fact surface on 8 April, this objection was met: the petitioners have asked that although the existing case should indeed be reheard, the Court should “</w:t>
      </w:r>
      <w:r w:rsidRPr="00F61F1B">
        <w:rPr>
          <w:rFonts w:ascii="Arial" w:hAnsi="Arial" w:cs="Arial"/>
          <w:sz w:val="22"/>
          <w:szCs w:val="22"/>
          <w:lang w:val="en-US"/>
        </w:rPr>
        <w:t>hold the case … until it is capable of issuing a decision”.</w:t>
      </w:r>
    </w:p>
    <w:p w14:paraId="31B30087" w14:textId="77777777" w:rsidR="00CE32F1" w:rsidRDefault="00CE32F1" w:rsidP="00F61F1B">
      <w:pPr>
        <w:pStyle w:val="NormalWeb"/>
        <w:shd w:val="clear" w:color="auto" w:fill="FFFFFF"/>
        <w:spacing w:before="0" w:beforeAutospacing="0" w:after="0" w:afterAutospacing="0" w:line="300" w:lineRule="exact"/>
        <w:rPr>
          <w:rFonts w:ascii="Arial" w:hAnsi="Arial" w:cs="Arial"/>
          <w:sz w:val="22"/>
          <w:szCs w:val="22"/>
          <w:lang w:val="en-US"/>
        </w:rPr>
      </w:pPr>
    </w:p>
    <w:p w14:paraId="3B27FD48" w14:textId="4F0DA2BC" w:rsidR="00E55FCB" w:rsidRPr="00F61F1B" w:rsidRDefault="00F66E54" w:rsidP="00F61F1B">
      <w:pPr>
        <w:pStyle w:val="NormalWeb"/>
        <w:shd w:val="clear" w:color="auto" w:fill="FFFFFF"/>
        <w:spacing w:before="0" w:beforeAutospacing="0" w:after="0" w:afterAutospacing="0" w:line="300" w:lineRule="exact"/>
        <w:rPr>
          <w:rFonts w:ascii="Arial" w:hAnsi="Arial" w:cs="Arial"/>
          <w:sz w:val="22"/>
          <w:szCs w:val="22"/>
        </w:rPr>
      </w:pPr>
      <w:r w:rsidRPr="00F61F1B">
        <w:rPr>
          <w:rFonts w:ascii="Arial" w:hAnsi="Arial" w:cs="Arial"/>
          <w:sz w:val="22"/>
          <w:szCs w:val="22"/>
          <w:lang w:val="en-US"/>
        </w:rPr>
        <w:t>Even so, the fate of the petition remains in doubt.</w:t>
      </w:r>
      <w:r w:rsidR="004E5B8B">
        <w:rPr>
          <w:rFonts w:ascii="Arial" w:hAnsi="Arial" w:cs="Arial"/>
          <w:sz w:val="22"/>
          <w:szCs w:val="22"/>
          <w:lang w:val="en-US"/>
        </w:rPr>
        <w:t xml:space="preserve"> </w:t>
      </w:r>
      <w:r w:rsidRPr="00F61F1B">
        <w:rPr>
          <w:rFonts w:ascii="Arial" w:hAnsi="Arial" w:cs="Arial"/>
          <w:sz w:val="22"/>
          <w:szCs w:val="22"/>
        </w:rPr>
        <w:t>A decision to grant a rehearing requires an affirmative vote by five Justices, including at least one who was a party to the impugned decision.</w:t>
      </w:r>
      <w:r w:rsidR="004E5B8B">
        <w:rPr>
          <w:rFonts w:ascii="Arial" w:hAnsi="Arial" w:cs="Arial"/>
          <w:sz w:val="22"/>
          <w:szCs w:val="22"/>
        </w:rPr>
        <w:t xml:space="preserve"> </w:t>
      </w:r>
      <w:r w:rsidRPr="00F61F1B">
        <w:rPr>
          <w:rFonts w:ascii="Arial" w:hAnsi="Arial" w:cs="Arial"/>
          <w:sz w:val="22"/>
          <w:szCs w:val="22"/>
        </w:rPr>
        <w:t>How that rule should be applied to a non-decision – by an evenly divided Court – is unclear.</w:t>
      </w:r>
    </w:p>
    <w:p w14:paraId="082C7C84" w14:textId="77777777" w:rsidR="00114E74" w:rsidRPr="00F61F1B" w:rsidRDefault="00114E74" w:rsidP="00F61F1B">
      <w:pPr>
        <w:spacing w:after="0" w:line="300" w:lineRule="exact"/>
        <w:rPr>
          <w:rFonts w:ascii="Arial" w:hAnsi="Arial" w:cs="Arial"/>
        </w:rPr>
      </w:pPr>
    </w:p>
    <w:p w14:paraId="2DB180C3" w14:textId="2696AB60" w:rsidR="00114E74" w:rsidRPr="00F61F1B" w:rsidRDefault="00114E74" w:rsidP="00F61F1B">
      <w:pPr>
        <w:spacing w:after="0" w:line="300" w:lineRule="exact"/>
        <w:rPr>
          <w:rFonts w:ascii="Arial" w:hAnsi="Arial" w:cs="Arial"/>
        </w:rPr>
      </w:pPr>
      <w:r w:rsidRPr="00F61F1B">
        <w:rPr>
          <w:rFonts w:ascii="Arial" w:hAnsi="Arial" w:cs="Arial"/>
        </w:rPr>
        <w:t xml:space="preserve">Perhaps even more striking than </w:t>
      </w:r>
      <w:r w:rsidR="00072021" w:rsidRPr="00F61F1B">
        <w:rPr>
          <w:rFonts w:ascii="Arial" w:hAnsi="Arial" w:cs="Arial"/>
        </w:rPr>
        <w:t xml:space="preserve">these two examples of </w:t>
      </w:r>
      <w:r w:rsidRPr="00F61F1B">
        <w:rPr>
          <w:rFonts w:ascii="Arial" w:hAnsi="Arial" w:cs="Arial"/>
        </w:rPr>
        <w:t xml:space="preserve">an </w:t>
      </w:r>
      <w:r w:rsidR="00072021" w:rsidRPr="00F61F1B">
        <w:rPr>
          <w:rFonts w:ascii="Arial" w:hAnsi="Arial" w:cs="Arial"/>
        </w:rPr>
        <w:t>inconclusive</w:t>
      </w:r>
      <w:r w:rsidRPr="00F61F1B">
        <w:rPr>
          <w:rFonts w:ascii="Arial" w:hAnsi="Arial" w:cs="Arial"/>
        </w:rPr>
        <w:t xml:space="preserve"> 4:4 division was the </w:t>
      </w:r>
      <w:r w:rsidR="00072021" w:rsidRPr="00F61F1B">
        <w:rPr>
          <w:rFonts w:ascii="Arial" w:hAnsi="Arial" w:cs="Arial"/>
        </w:rPr>
        <w:t xml:space="preserve">Court’s </w:t>
      </w:r>
      <w:r w:rsidRPr="00F61F1B">
        <w:rPr>
          <w:rFonts w:ascii="Arial" w:hAnsi="Arial" w:cs="Arial"/>
        </w:rPr>
        <w:t xml:space="preserve">attempt to avoid </w:t>
      </w:r>
      <w:r w:rsidR="00072021" w:rsidRPr="00F61F1B">
        <w:rPr>
          <w:rFonts w:ascii="Arial" w:hAnsi="Arial" w:cs="Arial"/>
        </w:rPr>
        <w:t>the same thing happening in a third case</w:t>
      </w:r>
      <w:r w:rsidRPr="00F61F1B">
        <w:rPr>
          <w:rFonts w:ascii="Arial" w:hAnsi="Arial" w:cs="Arial"/>
        </w:rPr>
        <w:t xml:space="preserve">, </w:t>
      </w:r>
      <w:r w:rsidR="00072021" w:rsidRPr="00F61F1B">
        <w:rPr>
          <w:rFonts w:ascii="Arial" w:hAnsi="Arial" w:cs="Arial"/>
        </w:rPr>
        <w:t>this time in one of</w:t>
      </w:r>
      <w:r w:rsidRPr="00F61F1B">
        <w:rPr>
          <w:rFonts w:ascii="Arial" w:hAnsi="Arial" w:cs="Arial"/>
        </w:rPr>
        <w:t xml:space="preserve"> the </w:t>
      </w:r>
      <w:r w:rsidR="00072021" w:rsidRPr="00F61F1B">
        <w:rPr>
          <w:rFonts w:ascii="Arial" w:hAnsi="Arial" w:cs="Arial"/>
        </w:rPr>
        <w:t xml:space="preserve">endless </w:t>
      </w:r>
      <w:r w:rsidRPr="00F61F1B">
        <w:rPr>
          <w:rFonts w:ascii="Arial" w:hAnsi="Arial" w:cs="Arial"/>
        </w:rPr>
        <w:t>series of cases challenging</w:t>
      </w:r>
      <w:r w:rsidR="00874BF1" w:rsidRPr="00F61F1B">
        <w:rPr>
          <w:rFonts w:ascii="Arial" w:hAnsi="Arial" w:cs="Arial"/>
        </w:rPr>
        <w:t xml:space="preserve"> aspects of</w:t>
      </w:r>
      <w:r w:rsidRPr="00F61F1B">
        <w:rPr>
          <w:rFonts w:ascii="Arial" w:hAnsi="Arial" w:cs="Arial"/>
        </w:rPr>
        <w:t xml:space="preserve"> the </w:t>
      </w:r>
      <w:r w:rsidRPr="00F61F1B">
        <w:rPr>
          <w:rFonts w:ascii="Arial" w:hAnsi="Arial" w:cs="Arial"/>
          <w:i/>
        </w:rPr>
        <w:t>Affordable Care Act</w:t>
      </w:r>
      <w:r w:rsidR="00072021" w:rsidRPr="00F61F1B">
        <w:rPr>
          <w:rFonts w:ascii="Arial" w:hAnsi="Arial" w:cs="Arial"/>
        </w:rPr>
        <w:t xml:space="preserve"> </w:t>
      </w:r>
      <w:r w:rsidR="00072021" w:rsidRPr="00F61F1B">
        <w:rPr>
          <w:rFonts w:ascii="Arial" w:hAnsi="Arial" w:cs="Arial"/>
          <w:i/>
        </w:rPr>
        <w:t>2010</w:t>
      </w:r>
      <w:r w:rsidRPr="00F61F1B">
        <w:rPr>
          <w:rFonts w:ascii="Arial" w:hAnsi="Arial" w:cs="Arial"/>
        </w:rPr>
        <w:t xml:space="preserve"> (“</w:t>
      </w:r>
      <w:proofErr w:type="spellStart"/>
      <w:r w:rsidRPr="00F61F1B">
        <w:rPr>
          <w:rFonts w:ascii="Arial" w:hAnsi="Arial" w:cs="Arial"/>
        </w:rPr>
        <w:t>Obamacare</w:t>
      </w:r>
      <w:proofErr w:type="spellEnd"/>
      <w:r w:rsidRPr="00F61F1B">
        <w:rPr>
          <w:rFonts w:ascii="Arial" w:hAnsi="Arial" w:cs="Arial"/>
        </w:rPr>
        <w:t>”).</w:t>
      </w:r>
      <w:r w:rsidR="004E5B8B">
        <w:rPr>
          <w:rFonts w:ascii="Arial" w:hAnsi="Arial" w:cs="Arial"/>
        </w:rPr>
        <w:t xml:space="preserve"> </w:t>
      </w:r>
      <w:r w:rsidR="00072021" w:rsidRPr="00F61F1B">
        <w:rPr>
          <w:rFonts w:ascii="Arial" w:hAnsi="Arial" w:cs="Arial"/>
        </w:rPr>
        <w:t>As usual, the respondent was Sylvia Burwell in her capacity as Secretary of the Department of Health and Human Services.</w:t>
      </w:r>
    </w:p>
    <w:p w14:paraId="0DA58425" w14:textId="77777777" w:rsidR="00072021" w:rsidRPr="00F61F1B" w:rsidRDefault="00072021" w:rsidP="00F61F1B">
      <w:pPr>
        <w:spacing w:after="0" w:line="300" w:lineRule="exact"/>
        <w:rPr>
          <w:rFonts w:ascii="Arial" w:hAnsi="Arial" w:cs="Arial"/>
        </w:rPr>
      </w:pPr>
    </w:p>
    <w:p w14:paraId="21CB47F9" w14:textId="21F74820" w:rsidR="0082604A" w:rsidRPr="00F61F1B" w:rsidRDefault="0082604A" w:rsidP="00F61F1B">
      <w:pPr>
        <w:pStyle w:val="Default"/>
        <w:spacing w:line="300" w:lineRule="exact"/>
        <w:rPr>
          <w:rFonts w:ascii="Arial" w:hAnsi="Arial" w:cs="Arial"/>
          <w:sz w:val="22"/>
          <w:szCs w:val="22"/>
        </w:rPr>
      </w:pPr>
      <w:r w:rsidRPr="00F61F1B">
        <w:rPr>
          <w:rFonts w:ascii="Arial" w:hAnsi="Arial" w:cs="Arial"/>
          <w:sz w:val="22"/>
          <w:szCs w:val="22"/>
        </w:rPr>
        <w:t xml:space="preserve">Initially the regulations made under the </w:t>
      </w:r>
      <w:r w:rsidRPr="00F61F1B">
        <w:rPr>
          <w:rFonts w:ascii="Arial" w:hAnsi="Arial" w:cs="Arial"/>
          <w:i/>
          <w:sz w:val="22"/>
          <w:szCs w:val="22"/>
        </w:rPr>
        <w:t>Affordable Care Act</w:t>
      </w:r>
      <w:r w:rsidRPr="00F61F1B">
        <w:rPr>
          <w:rFonts w:ascii="Arial" w:hAnsi="Arial" w:cs="Arial"/>
          <w:sz w:val="22"/>
          <w:szCs w:val="22"/>
        </w:rPr>
        <w:t xml:space="preserve"> provided that the obligation of employers to provide health insurance coverage for their employees applied to religious organisations operating for profit, even when the health services thus covered included procedures (such as contraceptive advice) to which such organisations or their members had a religious objection.</w:t>
      </w:r>
      <w:r w:rsidR="004E5B8B">
        <w:rPr>
          <w:rFonts w:ascii="Arial" w:hAnsi="Arial" w:cs="Arial"/>
          <w:sz w:val="22"/>
          <w:szCs w:val="22"/>
        </w:rPr>
        <w:t xml:space="preserve"> </w:t>
      </w:r>
      <w:r w:rsidRPr="00F61F1B">
        <w:rPr>
          <w:rFonts w:ascii="Arial" w:hAnsi="Arial" w:cs="Arial"/>
          <w:sz w:val="22"/>
          <w:szCs w:val="22"/>
        </w:rPr>
        <w:t xml:space="preserve">But in 2014 the Supreme Court </w:t>
      </w:r>
      <w:proofErr w:type="gramStart"/>
      <w:r w:rsidRPr="00F61F1B">
        <w:rPr>
          <w:rFonts w:ascii="Arial" w:hAnsi="Arial" w:cs="Arial"/>
          <w:sz w:val="22"/>
          <w:szCs w:val="22"/>
        </w:rPr>
        <w:t>held</w:t>
      </w:r>
      <w:r w:rsidR="00195785" w:rsidRPr="00F61F1B">
        <w:rPr>
          <w:rFonts w:ascii="Arial" w:hAnsi="Arial" w:cs="Arial"/>
          <w:color w:val="392B7D"/>
          <w:sz w:val="22"/>
          <w:szCs w:val="22"/>
        </w:rPr>
        <w:t>[</w:t>
      </w:r>
      <w:proofErr w:type="gramEnd"/>
      <w:r w:rsidR="00195785" w:rsidRPr="00F61F1B">
        <w:rPr>
          <w:rStyle w:val="EndnoteReference"/>
          <w:rFonts w:ascii="Arial" w:hAnsi="Arial" w:cs="Arial"/>
          <w:color w:val="392B7D"/>
          <w:sz w:val="22"/>
          <w:szCs w:val="22"/>
          <w:vertAlign w:val="baseline"/>
        </w:rPr>
        <w:endnoteReference w:id="7"/>
      </w:r>
      <w:r w:rsidR="00195785" w:rsidRPr="00F61F1B">
        <w:rPr>
          <w:rFonts w:ascii="Arial" w:hAnsi="Arial" w:cs="Arial"/>
          <w:color w:val="392B7D"/>
          <w:sz w:val="22"/>
          <w:szCs w:val="22"/>
        </w:rPr>
        <w:t>]</w:t>
      </w:r>
      <w:r w:rsidRPr="00F61F1B">
        <w:rPr>
          <w:rFonts w:ascii="Arial" w:hAnsi="Arial" w:cs="Arial"/>
          <w:sz w:val="22"/>
          <w:szCs w:val="22"/>
        </w:rPr>
        <w:t xml:space="preserve"> that these provisions infringed the </w:t>
      </w:r>
      <w:r w:rsidRPr="00F61F1B">
        <w:rPr>
          <w:rFonts w:ascii="Arial" w:hAnsi="Arial" w:cs="Arial"/>
          <w:i/>
          <w:sz w:val="22"/>
          <w:szCs w:val="22"/>
        </w:rPr>
        <w:t>Religious Freedom Restoration Act 1993</w:t>
      </w:r>
      <w:r w:rsidR="00874BF1" w:rsidRPr="00F61F1B">
        <w:rPr>
          <w:rFonts w:ascii="Arial" w:hAnsi="Arial" w:cs="Arial"/>
          <w:sz w:val="22"/>
          <w:szCs w:val="22"/>
        </w:rPr>
        <w:t xml:space="preserve"> – wh</w:t>
      </w:r>
      <w:r w:rsidRPr="00F61F1B">
        <w:rPr>
          <w:rFonts w:ascii="Arial" w:hAnsi="Arial" w:cs="Arial"/>
          <w:sz w:val="22"/>
          <w:szCs w:val="22"/>
        </w:rPr>
        <w:t xml:space="preserve">ich prohibits </w:t>
      </w:r>
      <w:r w:rsidR="00195785" w:rsidRPr="00F61F1B">
        <w:rPr>
          <w:rFonts w:ascii="Arial" w:hAnsi="Arial" w:cs="Arial"/>
          <w:sz w:val="22"/>
          <w:szCs w:val="22"/>
        </w:rPr>
        <w:t xml:space="preserve">any </w:t>
      </w:r>
      <w:r w:rsidRPr="00F61F1B">
        <w:rPr>
          <w:rFonts w:ascii="Arial" w:hAnsi="Arial" w:cs="Arial"/>
          <w:sz w:val="22"/>
          <w:szCs w:val="22"/>
        </w:rPr>
        <w:t>substantial burden</w:t>
      </w:r>
      <w:r w:rsidR="00195785" w:rsidRPr="00F61F1B">
        <w:rPr>
          <w:rFonts w:ascii="Arial" w:hAnsi="Arial" w:cs="Arial"/>
          <w:sz w:val="22"/>
          <w:szCs w:val="22"/>
        </w:rPr>
        <w:t xml:space="preserve"> on the free</w:t>
      </w:r>
      <w:r w:rsidRPr="00F61F1B">
        <w:rPr>
          <w:rFonts w:ascii="Arial" w:hAnsi="Arial" w:cs="Arial"/>
          <w:sz w:val="22"/>
          <w:szCs w:val="22"/>
        </w:rPr>
        <w:t xml:space="preserve"> exercise of religion</w:t>
      </w:r>
      <w:r w:rsidR="00195785" w:rsidRPr="00F61F1B">
        <w:rPr>
          <w:rFonts w:ascii="Arial" w:hAnsi="Arial" w:cs="Arial"/>
          <w:sz w:val="22"/>
          <w:szCs w:val="22"/>
        </w:rPr>
        <w:t>,</w:t>
      </w:r>
      <w:r w:rsidRPr="00F61F1B">
        <w:rPr>
          <w:rFonts w:ascii="Arial" w:hAnsi="Arial" w:cs="Arial"/>
          <w:sz w:val="22"/>
          <w:szCs w:val="22"/>
        </w:rPr>
        <w:t xml:space="preserve"> even if </w:t>
      </w:r>
      <w:r w:rsidR="00195785" w:rsidRPr="00F61F1B">
        <w:rPr>
          <w:rFonts w:ascii="Arial" w:hAnsi="Arial" w:cs="Arial"/>
          <w:sz w:val="22"/>
          <w:szCs w:val="22"/>
        </w:rPr>
        <w:t>it</w:t>
      </w:r>
      <w:r w:rsidRPr="00F61F1B">
        <w:rPr>
          <w:rFonts w:ascii="Arial" w:hAnsi="Arial" w:cs="Arial"/>
          <w:sz w:val="22"/>
          <w:szCs w:val="22"/>
        </w:rPr>
        <w:t xml:space="preserve"> </w:t>
      </w:r>
      <w:r w:rsidR="00195785" w:rsidRPr="00F61F1B">
        <w:rPr>
          <w:rFonts w:ascii="Arial" w:hAnsi="Arial" w:cs="Arial"/>
          <w:sz w:val="22"/>
          <w:szCs w:val="22"/>
        </w:rPr>
        <w:t xml:space="preserve">arises merely </w:t>
      </w:r>
      <w:r w:rsidRPr="00F61F1B">
        <w:rPr>
          <w:rFonts w:ascii="Arial" w:hAnsi="Arial" w:cs="Arial"/>
          <w:sz w:val="22"/>
          <w:szCs w:val="22"/>
        </w:rPr>
        <w:t xml:space="preserve">from </w:t>
      </w:r>
      <w:r w:rsidR="00195785" w:rsidRPr="00F61F1B">
        <w:rPr>
          <w:rFonts w:ascii="Arial" w:hAnsi="Arial" w:cs="Arial"/>
          <w:sz w:val="22"/>
          <w:szCs w:val="22"/>
        </w:rPr>
        <w:t xml:space="preserve">the general application of </w:t>
      </w:r>
      <w:r w:rsidRPr="00F61F1B">
        <w:rPr>
          <w:rFonts w:ascii="Arial" w:hAnsi="Arial" w:cs="Arial"/>
          <w:sz w:val="22"/>
          <w:szCs w:val="22"/>
        </w:rPr>
        <w:t xml:space="preserve">a </w:t>
      </w:r>
      <w:r w:rsidR="00195785" w:rsidRPr="00F61F1B">
        <w:rPr>
          <w:rFonts w:ascii="Arial" w:hAnsi="Arial" w:cs="Arial"/>
          <w:sz w:val="22"/>
          <w:szCs w:val="22"/>
        </w:rPr>
        <w:t>uniformly applicable law,</w:t>
      </w:r>
      <w:r w:rsidRPr="00F61F1B">
        <w:rPr>
          <w:rFonts w:ascii="Arial" w:hAnsi="Arial" w:cs="Arial"/>
          <w:sz w:val="22"/>
          <w:szCs w:val="22"/>
        </w:rPr>
        <w:t xml:space="preserve"> unless it can be shown that the imposition of the burden “(1) is in furtherance of a compelling governmental interest; and (2) is the least restrictive means of furthering that compelling governmental interest.”</w:t>
      </w:r>
    </w:p>
    <w:p w14:paraId="0E94EEB5" w14:textId="77777777" w:rsidR="00195785" w:rsidRPr="00F61F1B" w:rsidRDefault="00195785" w:rsidP="00F61F1B">
      <w:pPr>
        <w:pStyle w:val="Default"/>
        <w:spacing w:line="300" w:lineRule="exact"/>
        <w:rPr>
          <w:rFonts w:ascii="Arial" w:hAnsi="Arial" w:cs="Arial"/>
          <w:sz w:val="22"/>
          <w:szCs w:val="22"/>
        </w:rPr>
      </w:pPr>
    </w:p>
    <w:p w14:paraId="029641AA" w14:textId="1209EDDF" w:rsidR="009530CA" w:rsidRPr="00F61F1B" w:rsidRDefault="0082604A" w:rsidP="00F61F1B">
      <w:pPr>
        <w:autoSpaceDE w:val="0"/>
        <w:autoSpaceDN w:val="0"/>
        <w:adjustRightInd w:val="0"/>
        <w:spacing w:after="0" w:line="300" w:lineRule="exact"/>
        <w:rPr>
          <w:rFonts w:ascii="Arial" w:hAnsi="Arial" w:cs="Arial"/>
          <w:color w:val="000000"/>
        </w:rPr>
      </w:pPr>
      <w:r w:rsidRPr="00F61F1B">
        <w:rPr>
          <w:rFonts w:ascii="Arial" w:hAnsi="Arial" w:cs="Arial"/>
          <w:color w:val="000000"/>
        </w:rPr>
        <w:t>The original provision relating to profit-making religious employers was therefore defeated.</w:t>
      </w:r>
      <w:r w:rsidR="004E5B8B">
        <w:rPr>
          <w:rFonts w:ascii="Arial" w:hAnsi="Arial" w:cs="Arial"/>
          <w:color w:val="000000"/>
        </w:rPr>
        <w:t xml:space="preserve"> </w:t>
      </w:r>
      <w:r w:rsidRPr="00F61F1B">
        <w:rPr>
          <w:rFonts w:ascii="Arial" w:hAnsi="Arial" w:cs="Arial"/>
          <w:color w:val="000000"/>
        </w:rPr>
        <w:t>But for non</w:t>
      </w:r>
      <w:r w:rsidR="00874BF1" w:rsidRPr="00F61F1B">
        <w:rPr>
          <w:rFonts w:ascii="Arial" w:hAnsi="Arial" w:cs="Arial"/>
          <w:color w:val="000000"/>
        </w:rPr>
        <w:t>-</w:t>
      </w:r>
      <w:r w:rsidRPr="00F61F1B">
        <w:rPr>
          <w:rFonts w:ascii="Arial" w:hAnsi="Arial" w:cs="Arial"/>
          <w:color w:val="000000"/>
        </w:rPr>
        <w:t xml:space="preserve">profit religious </w:t>
      </w:r>
      <w:r w:rsidR="00195785" w:rsidRPr="00F61F1B">
        <w:rPr>
          <w:rFonts w:ascii="Arial" w:hAnsi="Arial" w:cs="Arial"/>
          <w:color w:val="000000"/>
        </w:rPr>
        <w:t>organisation</w:t>
      </w:r>
      <w:r w:rsidRPr="00F61F1B">
        <w:rPr>
          <w:rFonts w:ascii="Arial" w:hAnsi="Arial" w:cs="Arial"/>
          <w:color w:val="000000"/>
        </w:rPr>
        <w:t xml:space="preserve">s </w:t>
      </w:r>
      <w:r w:rsidR="00195785" w:rsidRPr="00F61F1B">
        <w:rPr>
          <w:rFonts w:ascii="Arial" w:hAnsi="Arial" w:cs="Arial"/>
          <w:color w:val="000000"/>
        </w:rPr>
        <w:t>with religious objections to</w:t>
      </w:r>
      <w:r w:rsidRPr="00F61F1B">
        <w:rPr>
          <w:rFonts w:ascii="Arial" w:hAnsi="Arial" w:cs="Arial"/>
          <w:color w:val="000000"/>
        </w:rPr>
        <w:t xml:space="preserve"> “providing coverage for some or all </w:t>
      </w:r>
      <w:r w:rsidR="00874BF1" w:rsidRPr="00F61F1B">
        <w:rPr>
          <w:rFonts w:ascii="Arial" w:hAnsi="Arial" w:cs="Arial"/>
          <w:color w:val="000000"/>
        </w:rPr>
        <w:t>…</w:t>
      </w:r>
      <w:r w:rsidRPr="00F61F1B">
        <w:rPr>
          <w:rFonts w:ascii="Arial" w:hAnsi="Arial" w:cs="Arial"/>
          <w:color w:val="000000"/>
        </w:rPr>
        <w:t xml:space="preserve"> contraceptive services”, those earlier regulations had already provided an alternative.</w:t>
      </w:r>
      <w:r w:rsidR="004E5B8B">
        <w:rPr>
          <w:rFonts w:ascii="Arial" w:hAnsi="Arial" w:cs="Arial"/>
          <w:color w:val="000000"/>
        </w:rPr>
        <w:t xml:space="preserve"> </w:t>
      </w:r>
      <w:r w:rsidRPr="00F61F1B">
        <w:rPr>
          <w:rFonts w:ascii="Arial" w:hAnsi="Arial" w:cs="Arial"/>
          <w:color w:val="000000"/>
        </w:rPr>
        <w:t>Initially such an employer must “self-certify” its objections, and what happened then was summarized by the 2014 Opinion of the Court as follows:</w:t>
      </w:r>
    </w:p>
    <w:p w14:paraId="5961DB2B" w14:textId="77777777" w:rsidR="009530CA" w:rsidRPr="00F61F1B" w:rsidRDefault="009530CA" w:rsidP="00F61F1B">
      <w:pPr>
        <w:autoSpaceDE w:val="0"/>
        <w:autoSpaceDN w:val="0"/>
        <w:adjustRightInd w:val="0"/>
        <w:spacing w:after="0" w:line="300" w:lineRule="exact"/>
        <w:rPr>
          <w:rFonts w:ascii="Arial" w:hAnsi="Arial" w:cs="Arial"/>
          <w:color w:val="000000"/>
        </w:rPr>
      </w:pPr>
    </w:p>
    <w:p w14:paraId="1A21D43F" w14:textId="77777777" w:rsidR="0082604A" w:rsidRPr="00F61F1B" w:rsidRDefault="0082604A" w:rsidP="00F61F1B">
      <w:pPr>
        <w:autoSpaceDE w:val="0"/>
        <w:autoSpaceDN w:val="0"/>
        <w:adjustRightInd w:val="0"/>
        <w:spacing w:after="0" w:line="300" w:lineRule="exact"/>
        <w:ind w:left="357"/>
        <w:rPr>
          <w:rFonts w:ascii="Arial" w:hAnsi="Arial" w:cs="Arial"/>
          <w:color w:val="000000"/>
        </w:rPr>
      </w:pPr>
      <w:r w:rsidRPr="00F61F1B">
        <w:rPr>
          <w:rFonts w:ascii="Arial" w:hAnsi="Arial" w:cs="Arial"/>
          <w:color w:val="000000"/>
        </w:rPr>
        <w:t xml:space="preserve">When a group-health-insurance issuer receives notice that one of its clients has invoked this provision, the issuer must then exclude contraceptive coverage from the employer’s plan and provide separate payments for contraceptive services for plan participants without imposing any cost-sharing requirements on the eligible </w:t>
      </w:r>
      <w:r w:rsidR="00195785" w:rsidRPr="00F61F1B">
        <w:rPr>
          <w:rFonts w:ascii="Arial" w:hAnsi="Arial" w:cs="Arial"/>
          <w:color w:val="000000"/>
        </w:rPr>
        <w:t>organisation</w:t>
      </w:r>
      <w:r w:rsidRPr="00F61F1B">
        <w:rPr>
          <w:rFonts w:ascii="Arial" w:hAnsi="Arial" w:cs="Arial"/>
          <w:color w:val="000000"/>
        </w:rPr>
        <w:t>, its insurance plan, or its employee beneficiaries.</w:t>
      </w:r>
    </w:p>
    <w:p w14:paraId="1ED83447" w14:textId="77777777" w:rsidR="001619AB" w:rsidRPr="00F61F1B" w:rsidRDefault="001619AB" w:rsidP="00F61F1B">
      <w:pPr>
        <w:autoSpaceDE w:val="0"/>
        <w:autoSpaceDN w:val="0"/>
        <w:adjustRightInd w:val="0"/>
        <w:spacing w:after="0" w:line="300" w:lineRule="exact"/>
        <w:rPr>
          <w:rFonts w:ascii="Arial" w:hAnsi="Arial" w:cs="Arial"/>
          <w:color w:val="000000"/>
        </w:rPr>
      </w:pPr>
    </w:p>
    <w:p w14:paraId="675A54E4" w14:textId="0B698597" w:rsidR="009530CA" w:rsidRPr="00F61F1B" w:rsidRDefault="0082604A" w:rsidP="00F61F1B">
      <w:pPr>
        <w:autoSpaceDE w:val="0"/>
        <w:autoSpaceDN w:val="0"/>
        <w:adjustRightInd w:val="0"/>
        <w:spacing w:after="0" w:line="300" w:lineRule="exact"/>
        <w:rPr>
          <w:rFonts w:ascii="Arial" w:hAnsi="Arial" w:cs="Arial"/>
          <w:color w:val="000000"/>
        </w:rPr>
      </w:pPr>
      <w:r w:rsidRPr="00F61F1B">
        <w:rPr>
          <w:rFonts w:ascii="Arial" w:hAnsi="Arial" w:cs="Arial"/>
          <w:color w:val="000000"/>
        </w:rPr>
        <w:t>In 2014 this existing provision for non-profit religious employers was crucial.</w:t>
      </w:r>
      <w:r w:rsidR="004E5B8B">
        <w:rPr>
          <w:rFonts w:ascii="Arial" w:hAnsi="Arial" w:cs="Arial"/>
          <w:color w:val="000000"/>
        </w:rPr>
        <w:t xml:space="preserve"> </w:t>
      </w:r>
      <w:r w:rsidRPr="00F61F1B">
        <w:rPr>
          <w:rFonts w:ascii="Arial" w:hAnsi="Arial" w:cs="Arial"/>
          <w:color w:val="000000"/>
        </w:rPr>
        <w:t>The judicial alignment followed an all too familiar pattern.</w:t>
      </w:r>
      <w:r w:rsidR="004E5B8B">
        <w:rPr>
          <w:rFonts w:ascii="Arial" w:hAnsi="Arial" w:cs="Arial"/>
          <w:color w:val="000000"/>
        </w:rPr>
        <w:t xml:space="preserve"> </w:t>
      </w:r>
      <w:r w:rsidRPr="00F61F1B">
        <w:rPr>
          <w:rFonts w:ascii="Arial" w:hAnsi="Arial" w:cs="Arial"/>
          <w:color w:val="000000"/>
        </w:rPr>
        <w:t xml:space="preserve">The “conservative” </w:t>
      </w:r>
      <w:r w:rsidR="00F235AE" w:rsidRPr="00F61F1B">
        <w:rPr>
          <w:rFonts w:ascii="Arial" w:hAnsi="Arial" w:cs="Arial"/>
          <w:color w:val="000000"/>
        </w:rPr>
        <w:t>bloc</w:t>
      </w:r>
      <w:r w:rsidRPr="00F61F1B">
        <w:rPr>
          <w:rFonts w:ascii="Arial" w:hAnsi="Arial" w:cs="Arial"/>
          <w:color w:val="000000"/>
        </w:rPr>
        <w:t xml:space="preserve"> (Chief Justice Roberts </w:t>
      </w:r>
      <w:r w:rsidRPr="00F61F1B">
        <w:rPr>
          <w:rFonts w:ascii="Arial" w:hAnsi="Arial" w:cs="Arial"/>
          <w:color w:val="000000"/>
        </w:rPr>
        <w:lastRenderedPageBreak/>
        <w:t xml:space="preserve">and Justices Scalia, Thomas and Alito) held that the inclusion of profit-making religious employers </w:t>
      </w:r>
      <w:r w:rsidR="009530CA" w:rsidRPr="00F61F1B">
        <w:rPr>
          <w:rFonts w:ascii="Arial" w:hAnsi="Arial" w:cs="Arial"/>
          <w:color w:val="000000"/>
        </w:rPr>
        <w:t>amounted to</w:t>
      </w:r>
      <w:r w:rsidRPr="00F61F1B">
        <w:rPr>
          <w:rFonts w:ascii="Arial" w:hAnsi="Arial" w:cs="Arial"/>
          <w:color w:val="000000"/>
        </w:rPr>
        <w:t xml:space="preserve"> an impermissible burden on their religious freedom; the “liberal” </w:t>
      </w:r>
      <w:r w:rsidR="00F235AE" w:rsidRPr="00F61F1B">
        <w:rPr>
          <w:rFonts w:ascii="Arial" w:hAnsi="Arial" w:cs="Arial"/>
          <w:color w:val="000000"/>
        </w:rPr>
        <w:t>bloc</w:t>
      </w:r>
      <w:r w:rsidRPr="00F61F1B">
        <w:rPr>
          <w:rFonts w:ascii="Arial" w:hAnsi="Arial" w:cs="Arial"/>
          <w:color w:val="000000"/>
        </w:rPr>
        <w:t xml:space="preserve"> (Justices Ginsburg, </w:t>
      </w:r>
      <w:proofErr w:type="spellStart"/>
      <w:r w:rsidRPr="00F61F1B">
        <w:rPr>
          <w:rFonts w:ascii="Arial" w:hAnsi="Arial" w:cs="Arial"/>
          <w:color w:val="000000"/>
        </w:rPr>
        <w:t>Breyer</w:t>
      </w:r>
      <w:proofErr w:type="spellEnd"/>
      <w:r w:rsidRPr="00F61F1B">
        <w:rPr>
          <w:rFonts w:ascii="Arial" w:hAnsi="Arial" w:cs="Arial"/>
          <w:color w:val="000000"/>
        </w:rPr>
        <w:t xml:space="preserve">, Sotomayor and </w:t>
      </w:r>
      <w:proofErr w:type="spellStart"/>
      <w:r w:rsidRPr="00F61F1B">
        <w:rPr>
          <w:rFonts w:ascii="Arial" w:hAnsi="Arial" w:cs="Arial"/>
          <w:color w:val="000000"/>
        </w:rPr>
        <w:t>Kagan</w:t>
      </w:r>
      <w:proofErr w:type="spellEnd"/>
      <w:r w:rsidRPr="00F61F1B">
        <w:rPr>
          <w:rFonts w:ascii="Arial" w:hAnsi="Arial" w:cs="Arial"/>
          <w:color w:val="000000"/>
        </w:rPr>
        <w:t>) would have upheld it as valid.</w:t>
      </w:r>
      <w:r w:rsidR="004E5B8B">
        <w:rPr>
          <w:rFonts w:ascii="Arial" w:hAnsi="Arial" w:cs="Arial"/>
          <w:color w:val="000000"/>
        </w:rPr>
        <w:t xml:space="preserve"> </w:t>
      </w:r>
      <w:r w:rsidRPr="00F61F1B">
        <w:rPr>
          <w:rFonts w:ascii="Arial" w:hAnsi="Arial" w:cs="Arial"/>
          <w:color w:val="000000"/>
        </w:rPr>
        <w:t>The position of the swing voter, Justice Kennedy, was decisive.</w:t>
      </w:r>
      <w:r w:rsidR="004E5B8B">
        <w:rPr>
          <w:rFonts w:ascii="Arial" w:hAnsi="Arial" w:cs="Arial"/>
          <w:color w:val="000000"/>
        </w:rPr>
        <w:t xml:space="preserve"> </w:t>
      </w:r>
      <w:r w:rsidRPr="00F61F1B">
        <w:rPr>
          <w:rFonts w:ascii="Arial" w:hAnsi="Arial" w:cs="Arial"/>
          <w:color w:val="000000"/>
        </w:rPr>
        <w:t>Although he joined in the Opinion of the Court (written by Justice Alito), his separate concurrence made it clear that he did so on a very narrow ground.</w:t>
      </w:r>
    </w:p>
    <w:p w14:paraId="0F77AB83" w14:textId="77777777" w:rsidR="009530CA" w:rsidRPr="00F61F1B" w:rsidRDefault="009530CA" w:rsidP="00F61F1B">
      <w:pPr>
        <w:autoSpaceDE w:val="0"/>
        <w:autoSpaceDN w:val="0"/>
        <w:adjustRightInd w:val="0"/>
        <w:spacing w:after="0" w:line="300" w:lineRule="exact"/>
        <w:rPr>
          <w:rFonts w:ascii="Arial" w:hAnsi="Arial" w:cs="Arial"/>
          <w:color w:val="000000"/>
        </w:rPr>
      </w:pPr>
    </w:p>
    <w:p w14:paraId="7CFB7DA7" w14:textId="43EF3545" w:rsidR="0082604A" w:rsidRPr="00F61F1B" w:rsidRDefault="0082604A" w:rsidP="00F61F1B">
      <w:pPr>
        <w:autoSpaceDE w:val="0"/>
        <w:autoSpaceDN w:val="0"/>
        <w:adjustRightInd w:val="0"/>
        <w:spacing w:after="0" w:line="300" w:lineRule="exact"/>
        <w:rPr>
          <w:rFonts w:ascii="Arial" w:hAnsi="Arial" w:cs="Arial"/>
        </w:rPr>
      </w:pPr>
      <w:r w:rsidRPr="00F61F1B">
        <w:rPr>
          <w:rFonts w:ascii="Arial" w:hAnsi="Arial" w:cs="Arial"/>
          <w:color w:val="000000"/>
        </w:rPr>
        <w:t xml:space="preserve">On </w:t>
      </w:r>
      <w:r w:rsidR="00874BF1" w:rsidRPr="00F61F1B">
        <w:rPr>
          <w:rFonts w:ascii="Arial" w:hAnsi="Arial" w:cs="Arial"/>
          <w:color w:val="000000"/>
        </w:rPr>
        <w:t>Justice Kennedy’</w:t>
      </w:r>
      <w:r w:rsidRPr="00F61F1B">
        <w:rPr>
          <w:rFonts w:ascii="Arial" w:hAnsi="Arial" w:cs="Arial"/>
          <w:color w:val="000000"/>
        </w:rPr>
        <w:t xml:space="preserve">s view of the </w:t>
      </w:r>
      <w:r w:rsidRPr="00F61F1B">
        <w:rPr>
          <w:rFonts w:ascii="Arial" w:hAnsi="Arial" w:cs="Arial"/>
          <w:i/>
          <w:color w:val="000000"/>
        </w:rPr>
        <w:t>Religious Freedom Restoration Act</w:t>
      </w:r>
      <w:r w:rsidRPr="00F61F1B">
        <w:rPr>
          <w:rFonts w:ascii="Arial" w:hAnsi="Arial" w:cs="Arial"/>
          <w:color w:val="000000"/>
        </w:rPr>
        <w:t>, the requirement that the</w:t>
      </w:r>
      <w:r w:rsidR="009530CA" w:rsidRPr="00F61F1B">
        <w:rPr>
          <w:rFonts w:ascii="Arial" w:hAnsi="Arial" w:cs="Arial"/>
          <w:color w:val="000000"/>
        </w:rPr>
        <w:t xml:space="preserve"> respondents’</w:t>
      </w:r>
      <w:r w:rsidRPr="00F61F1B">
        <w:rPr>
          <w:rFonts w:ascii="Arial" w:hAnsi="Arial" w:cs="Arial"/>
          <w:color w:val="000000"/>
        </w:rPr>
        <w:t xml:space="preserve"> insurance plans include contraceptive services did satisfy the requirement</w:t>
      </w:r>
      <w:r w:rsidRPr="00F61F1B">
        <w:rPr>
          <w:rFonts w:ascii="Arial" w:hAnsi="Arial" w:cs="Arial"/>
        </w:rPr>
        <w:t xml:space="preserve"> of “a compelling governmental interest”, but failed because it was not “the least restrictive means” of furthering that interest.</w:t>
      </w:r>
      <w:r w:rsidR="004E5B8B">
        <w:rPr>
          <w:rFonts w:ascii="Arial" w:hAnsi="Arial" w:cs="Arial"/>
        </w:rPr>
        <w:t xml:space="preserve"> </w:t>
      </w:r>
      <w:r w:rsidRPr="00F61F1B">
        <w:rPr>
          <w:rFonts w:ascii="Arial" w:hAnsi="Arial" w:cs="Arial"/>
        </w:rPr>
        <w:t>This was so because the exist</w:t>
      </w:r>
      <w:r w:rsidR="00F235AE" w:rsidRPr="00F61F1B">
        <w:rPr>
          <w:rFonts w:ascii="Arial" w:hAnsi="Arial" w:cs="Arial"/>
        </w:rPr>
        <w:t>i</w:t>
      </w:r>
      <w:r w:rsidRPr="00F61F1B">
        <w:rPr>
          <w:rFonts w:ascii="Arial" w:hAnsi="Arial" w:cs="Arial"/>
        </w:rPr>
        <w:t>n</w:t>
      </w:r>
      <w:r w:rsidR="00F235AE" w:rsidRPr="00F61F1B">
        <w:rPr>
          <w:rFonts w:ascii="Arial" w:hAnsi="Arial" w:cs="Arial"/>
        </w:rPr>
        <w:t>g</w:t>
      </w:r>
      <w:r w:rsidRPr="00F61F1B">
        <w:rPr>
          <w:rFonts w:ascii="Arial" w:hAnsi="Arial" w:cs="Arial"/>
        </w:rPr>
        <w:t xml:space="preserve"> arrangements for non</w:t>
      </w:r>
      <w:r w:rsidR="00172F2F" w:rsidRPr="00F61F1B">
        <w:rPr>
          <w:rFonts w:ascii="Arial" w:hAnsi="Arial" w:cs="Arial"/>
        </w:rPr>
        <w:t>-</w:t>
      </w:r>
      <w:r w:rsidRPr="00F61F1B">
        <w:rPr>
          <w:rFonts w:ascii="Arial" w:hAnsi="Arial" w:cs="Arial"/>
        </w:rPr>
        <w:t xml:space="preserve">profit employers </w:t>
      </w:r>
      <w:r w:rsidR="00F235AE" w:rsidRPr="00F61F1B">
        <w:rPr>
          <w:rFonts w:ascii="Arial" w:hAnsi="Arial" w:cs="Arial"/>
        </w:rPr>
        <w:t>had provided</w:t>
      </w:r>
      <w:r w:rsidRPr="00F61F1B">
        <w:rPr>
          <w:rFonts w:ascii="Arial" w:hAnsi="Arial" w:cs="Arial"/>
        </w:rPr>
        <w:t xml:space="preserve"> a clear example of a </w:t>
      </w:r>
      <w:r w:rsidRPr="00F61F1B">
        <w:rPr>
          <w:rFonts w:ascii="Arial" w:hAnsi="Arial" w:cs="Arial"/>
          <w:i/>
        </w:rPr>
        <w:t>less</w:t>
      </w:r>
      <w:r w:rsidRPr="00F61F1B">
        <w:rPr>
          <w:rFonts w:ascii="Arial" w:hAnsi="Arial" w:cs="Arial"/>
        </w:rPr>
        <w:t xml:space="preserve"> restrictive means.</w:t>
      </w:r>
      <w:r w:rsidR="004E5B8B">
        <w:rPr>
          <w:rFonts w:ascii="Arial" w:hAnsi="Arial" w:cs="Arial"/>
        </w:rPr>
        <w:t xml:space="preserve"> </w:t>
      </w:r>
      <w:r w:rsidRPr="00F61F1B">
        <w:rPr>
          <w:rFonts w:ascii="Arial" w:hAnsi="Arial" w:cs="Arial"/>
        </w:rPr>
        <w:t>His reasoning clearly implied that the arrangement for non</w:t>
      </w:r>
      <w:r w:rsidR="00874BF1" w:rsidRPr="00F61F1B">
        <w:rPr>
          <w:rFonts w:ascii="Arial" w:hAnsi="Arial" w:cs="Arial"/>
        </w:rPr>
        <w:t>-</w:t>
      </w:r>
      <w:r w:rsidRPr="00F61F1B">
        <w:rPr>
          <w:rFonts w:ascii="Arial" w:hAnsi="Arial" w:cs="Arial"/>
        </w:rPr>
        <w:t>profit religious employers was valid.</w:t>
      </w:r>
    </w:p>
    <w:p w14:paraId="5710714B" w14:textId="77777777" w:rsidR="00F235AE" w:rsidRPr="00F61F1B" w:rsidRDefault="00F235AE" w:rsidP="00F61F1B">
      <w:pPr>
        <w:autoSpaceDE w:val="0"/>
        <w:autoSpaceDN w:val="0"/>
        <w:adjustRightInd w:val="0"/>
        <w:spacing w:after="0" w:line="300" w:lineRule="exact"/>
        <w:rPr>
          <w:rFonts w:ascii="Arial" w:hAnsi="Arial" w:cs="Arial"/>
        </w:rPr>
      </w:pPr>
    </w:p>
    <w:p w14:paraId="2CD72D61" w14:textId="376BD121" w:rsidR="0082604A" w:rsidRPr="00F61F1B" w:rsidRDefault="0082604A" w:rsidP="00F61F1B">
      <w:pPr>
        <w:autoSpaceDE w:val="0"/>
        <w:autoSpaceDN w:val="0"/>
        <w:adjustRightInd w:val="0"/>
        <w:spacing w:after="0" w:line="300" w:lineRule="exact"/>
        <w:rPr>
          <w:rFonts w:ascii="Arial" w:eastAsia="Times New Roman" w:hAnsi="Arial" w:cs="Arial"/>
          <w:color w:val="392B7D"/>
          <w:lang w:eastAsia="en-AU"/>
        </w:rPr>
      </w:pPr>
      <w:r w:rsidRPr="00F61F1B">
        <w:rPr>
          <w:rFonts w:ascii="Arial" w:hAnsi="Arial" w:cs="Arial"/>
        </w:rPr>
        <w:t xml:space="preserve">Accordingly, the regulations were amended, to prescribe for religious </w:t>
      </w:r>
      <w:r w:rsidR="00195785" w:rsidRPr="00F61F1B">
        <w:rPr>
          <w:rFonts w:ascii="Arial" w:hAnsi="Arial" w:cs="Arial"/>
        </w:rPr>
        <w:t>organisation</w:t>
      </w:r>
      <w:r w:rsidRPr="00F61F1B">
        <w:rPr>
          <w:rFonts w:ascii="Arial" w:hAnsi="Arial" w:cs="Arial"/>
        </w:rPr>
        <w:t>s operating for profit the same procedures as had previously applied to their non-profit counterparts</w:t>
      </w:r>
      <w:r w:rsidR="00F235AE" w:rsidRPr="00F61F1B">
        <w:rPr>
          <w:rFonts w:ascii="Arial" w:hAnsi="Arial" w:cs="Arial"/>
        </w:rPr>
        <w:t>.</w:t>
      </w:r>
      <w:r w:rsidR="004E5B8B">
        <w:rPr>
          <w:rFonts w:ascii="Arial" w:hAnsi="Arial" w:cs="Arial"/>
        </w:rPr>
        <w:t xml:space="preserve"> </w:t>
      </w:r>
      <w:r w:rsidRPr="00F61F1B">
        <w:rPr>
          <w:rFonts w:ascii="Arial" w:hAnsi="Arial" w:cs="Arial"/>
        </w:rPr>
        <w:t xml:space="preserve">Under the new regulations – introduced </w:t>
      </w:r>
      <w:r w:rsidR="00F235AE" w:rsidRPr="00F61F1B">
        <w:rPr>
          <w:rFonts w:ascii="Arial" w:hAnsi="Arial" w:cs="Arial"/>
        </w:rPr>
        <w:t xml:space="preserve">in their final form </w:t>
      </w:r>
      <w:r w:rsidRPr="00F61F1B">
        <w:rPr>
          <w:rFonts w:ascii="Arial" w:hAnsi="Arial" w:cs="Arial"/>
        </w:rPr>
        <w:t xml:space="preserve">on 14 July 2015, and taking effect from 14 September 2015 – the </w:t>
      </w:r>
      <w:r w:rsidR="00195785" w:rsidRPr="00F61F1B">
        <w:rPr>
          <w:rFonts w:ascii="Arial" w:hAnsi="Arial" w:cs="Arial"/>
        </w:rPr>
        <w:t>organisation</w:t>
      </w:r>
      <w:r w:rsidRPr="00F61F1B">
        <w:rPr>
          <w:rFonts w:ascii="Arial" w:hAnsi="Arial" w:cs="Arial"/>
        </w:rPr>
        <w:t xml:space="preserve"> must first adopt</w:t>
      </w:r>
      <w:r w:rsidRPr="00F61F1B">
        <w:rPr>
          <w:rFonts w:ascii="Arial" w:eastAsia="Times New Roman" w:hAnsi="Arial" w:cs="Arial"/>
          <w:lang w:eastAsia="en-AU"/>
        </w:rPr>
        <w:t xml:space="preserve"> a resolution “establishing that it objects to covering some or all … contraceptive services on account of the owners</w:t>
      </w:r>
      <w:r w:rsidR="00B80334" w:rsidRPr="00F61F1B">
        <w:rPr>
          <w:rFonts w:ascii="Arial" w:eastAsia="Times New Roman" w:hAnsi="Arial" w:cs="Arial"/>
          <w:lang w:eastAsia="en-AU"/>
        </w:rPr>
        <w:t>’</w:t>
      </w:r>
      <w:r w:rsidRPr="00F61F1B">
        <w:rPr>
          <w:rFonts w:ascii="Arial" w:eastAsia="Times New Roman" w:hAnsi="Arial" w:cs="Arial"/>
          <w:lang w:eastAsia="en-AU"/>
        </w:rPr>
        <w:t xml:space="preserve"> sincerely held religious</w:t>
      </w:r>
      <w:r w:rsidR="00B80334" w:rsidRPr="00F61F1B">
        <w:rPr>
          <w:rFonts w:ascii="Arial" w:eastAsia="Times New Roman" w:hAnsi="Arial" w:cs="Arial"/>
          <w:lang w:eastAsia="en-AU"/>
        </w:rPr>
        <w:t xml:space="preserve"> beliefs</w:t>
      </w:r>
      <w:r w:rsidRPr="00F61F1B">
        <w:rPr>
          <w:rFonts w:ascii="Arial" w:eastAsia="Times New Roman" w:hAnsi="Arial" w:cs="Arial"/>
          <w:lang w:eastAsia="en-AU"/>
        </w:rPr>
        <w:t xml:space="preserve">”, and must then “self-certify” its </w:t>
      </w:r>
      <w:r w:rsidR="00895BA9" w:rsidRPr="00F61F1B">
        <w:rPr>
          <w:rFonts w:ascii="Arial" w:eastAsia="Times New Roman" w:hAnsi="Arial" w:cs="Arial"/>
          <w:lang w:eastAsia="en-AU"/>
        </w:rPr>
        <w:t>religious beliefs</w:t>
      </w:r>
      <w:r w:rsidRPr="00F61F1B">
        <w:rPr>
          <w:rFonts w:ascii="Arial" w:eastAsia="Times New Roman" w:hAnsi="Arial" w:cs="Arial"/>
          <w:lang w:eastAsia="en-AU"/>
        </w:rPr>
        <w:t xml:space="preserve"> “in the form and manner specified by the Secretary of Labor or provide notice to the Secretary of Health and Human Services”.</w:t>
      </w:r>
      <w:r w:rsidR="004E5B8B">
        <w:rPr>
          <w:rFonts w:ascii="Arial" w:hAnsi="Arial" w:cs="Arial"/>
        </w:rPr>
        <w:t xml:space="preserve"> </w:t>
      </w:r>
      <w:r w:rsidRPr="00F61F1B">
        <w:rPr>
          <w:rFonts w:ascii="Arial" w:hAnsi="Arial" w:cs="Arial"/>
        </w:rPr>
        <w:t xml:space="preserve">On being notified of </w:t>
      </w:r>
      <w:r w:rsidR="00895BA9" w:rsidRPr="00F61F1B">
        <w:rPr>
          <w:rFonts w:ascii="Arial" w:hAnsi="Arial" w:cs="Arial"/>
        </w:rPr>
        <w:t>this</w:t>
      </w:r>
      <w:r w:rsidRPr="00F61F1B">
        <w:rPr>
          <w:rFonts w:ascii="Arial" w:hAnsi="Arial" w:cs="Arial"/>
        </w:rPr>
        <w:t xml:space="preserve"> “self-certification”, the insurers </w:t>
      </w:r>
      <w:r w:rsidR="00895BA9" w:rsidRPr="00F61F1B">
        <w:rPr>
          <w:rFonts w:ascii="Arial" w:hAnsi="Arial" w:cs="Arial"/>
        </w:rPr>
        <w:t>must</w:t>
      </w:r>
      <w:r w:rsidRPr="00F61F1B">
        <w:rPr>
          <w:rFonts w:ascii="Arial" w:hAnsi="Arial" w:cs="Arial"/>
        </w:rPr>
        <w:t xml:space="preserve"> make alternative arrangements </w:t>
      </w:r>
      <w:r w:rsidR="00895BA9" w:rsidRPr="00F61F1B">
        <w:rPr>
          <w:rFonts w:ascii="Arial" w:hAnsi="Arial" w:cs="Arial"/>
        </w:rPr>
        <w:t>securing</w:t>
      </w:r>
      <w:r w:rsidRPr="00F61F1B">
        <w:rPr>
          <w:rFonts w:ascii="Arial" w:hAnsi="Arial" w:cs="Arial"/>
        </w:rPr>
        <w:t xml:space="preserve"> payment for the services in question, and </w:t>
      </w:r>
      <w:r w:rsidR="00895BA9" w:rsidRPr="00F61F1B">
        <w:rPr>
          <w:rFonts w:ascii="Arial" w:hAnsi="Arial" w:cs="Arial"/>
        </w:rPr>
        <w:t>must</w:t>
      </w:r>
      <w:r w:rsidRPr="00F61F1B">
        <w:rPr>
          <w:rFonts w:ascii="Arial" w:hAnsi="Arial" w:cs="Arial"/>
        </w:rPr>
        <w:t xml:space="preserve"> do so without requiring “</w:t>
      </w:r>
      <w:r w:rsidRPr="00F61F1B">
        <w:rPr>
          <w:rFonts w:ascii="Arial" w:eastAsia="Times New Roman" w:hAnsi="Arial" w:cs="Arial"/>
          <w:lang w:eastAsia="en-AU"/>
        </w:rPr>
        <w:t>any documentation other than a copy of the self-certification … or notification from the Department of Labor”.</w:t>
      </w:r>
      <w:r w:rsidR="004E5B8B">
        <w:rPr>
          <w:rFonts w:ascii="Arial" w:eastAsia="Times New Roman" w:hAnsi="Arial" w:cs="Arial"/>
          <w:lang w:eastAsia="en-AU"/>
        </w:rPr>
        <w:t xml:space="preserve"> </w:t>
      </w:r>
      <w:r w:rsidRPr="00F61F1B">
        <w:rPr>
          <w:rFonts w:ascii="Arial" w:eastAsia="Times New Roman" w:hAnsi="Arial" w:cs="Arial"/>
          <w:lang w:eastAsia="en-AU"/>
        </w:rPr>
        <w:t xml:space="preserve">Ultimately “the costs of providing or arranging such payments” will be </w:t>
      </w:r>
      <w:r w:rsidR="00B80334" w:rsidRPr="00F61F1B">
        <w:rPr>
          <w:rFonts w:ascii="Arial" w:eastAsia="Times New Roman" w:hAnsi="Arial" w:cs="Arial"/>
          <w:lang w:eastAsia="en-AU"/>
        </w:rPr>
        <w:t>“</w:t>
      </w:r>
      <w:r w:rsidRPr="00F61F1B">
        <w:rPr>
          <w:rFonts w:ascii="Arial" w:eastAsia="Times New Roman" w:hAnsi="Arial" w:cs="Arial"/>
          <w:lang w:eastAsia="en-AU"/>
        </w:rPr>
        <w:t>reimbursed through an adjustment to the Federally-facilitated Exchange user fee”</w:t>
      </w:r>
      <w:proofErr w:type="gramStart"/>
      <w:r w:rsidRPr="00F61F1B">
        <w:rPr>
          <w:rFonts w:ascii="Arial" w:eastAsia="Times New Roman" w:hAnsi="Arial" w:cs="Arial"/>
          <w:lang w:eastAsia="en-AU"/>
        </w:rPr>
        <w:t>.</w:t>
      </w:r>
      <w:r w:rsidR="00F235AE" w:rsidRPr="00F61F1B">
        <w:rPr>
          <w:rFonts w:ascii="Arial" w:eastAsia="Times New Roman" w:hAnsi="Arial" w:cs="Arial"/>
          <w:color w:val="392B7D"/>
          <w:lang w:eastAsia="en-AU"/>
        </w:rPr>
        <w:t>[</w:t>
      </w:r>
      <w:proofErr w:type="gramEnd"/>
      <w:r w:rsidR="00F235AE" w:rsidRPr="00F61F1B">
        <w:rPr>
          <w:rStyle w:val="EndnoteReference"/>
          <w:rFonts w:ascii="Arial" w:eastAsia="Times New Roman" w:hAnsi="Arial" w:cs="Arial"/>
          <w:color w:val="392B7D"/>
          <w:vertAlign w:val="baseline"/>
          <w:lang w:eastAsia="en-AU"/>
        </w:rPr>
        <w:endnoteReference w:id="8"/>
      </w:r>
      <w:r w:rsidR="00F235AE" w:rsidRPr="00F61F1B">
        <w:rPr>
          <w:rFonts w:ascii="Arial" w:eastAsia="Times New Roman" w:hAnsi="Arial" w:cs="Arial"/>
          <w:color w:val="392B7D"/>
          <w:lang w:eastAsia="en-AU"/>
        </w:rPr>
        <w:t>]</w:t>
      </w:r>
    </w:p>
    <w:p w14:paraId="55F4A1A0" w14:textId="77777777" w:rsidR="00874BF1" w:rsidRPr="00F61F1B" w:rsidRDefault="00874BF1" w:rsidP="00F61F1B">
      <w:pPr>
        <w:autoSpaceDE w:val="0"/>
        <w:autoSpaceDN w:val="0"/>
        <w:adjustRightInd w:val="0"/>
        <w:spacing w:after="0" w:line="300" w:lineRule="exact"/>
        <w:rPr>
          <w:rFonts w:ascii="Arial" w:hAnsi="Arial" w:cs="Arial"/>
        </w:rPr>
      </w:pPr>
    </w:p>
    <w:p w14:paraId="24E96A97" w14:textId="7108DF89" w:rsidR="0082604A" w:rsidRPr="00F61F1B" w:rsidRDefault="0082604A" w:rsidP="00F61F1B">
      <w:pPr>
        <w:pStyle w:val="Default"/>
        <w:spacing w:line="300" w:lineRule="exact"/>
        <w:rPr>
          <w:rFonts w:ascii="Arial" w:hAnsi="Arial" w:cs="Arial"/>
          <w:sz w:val="22"/>
          <w:szCs w:val="22"/>
        </w:rPr>
      </w:pPr>
      <w:r w:rsidRPr="00F61F1B">
        <w:rPr>
          <w:rFonts w:ascii="Arial" w:hAnsi="Arial" w:cs="Arial"/>
          <w:sz w:val="22"/>
          <w:szCs w:val="22"/>
        </w:rPr>
        <w:t xml:space="preserve">However, by the time these new arrangements were introduced, </w:t>
      </w:r>
      <w:r w:rsidR="00B80334" w:rsidRPr="00F61F1B">
        <w:rPr>
          <w:rFonts w:ascii="Arial" w:hAnsi="Arial" w:cs="Arial"/>
          <w:sz w:val="22"/>
          <w:szCs w:val="22"/>
        </w:rPr>
        <w:t xml:space="preserve">an interim </w:t>
      </w:r>
      <w:r w:rsidR="00874BF1" w:rsidRPr="00F61F1B">
        <w:rPr>
          <w:rFonts w:ascii="Arial" w:hAnsi="Arial" w:cs="Arial"/>
          <w:sz w:val="22"/>
          <w:szCs w:val="22"/>
        </w:rPr>
        <w:t>provision to the same effect</w:t>
      </w:r>
      <w:r w:rsidRPr="00F61F1B">
        <w:rPr>
          <w:rFonts w:ascii="Arial" w:hAnsi="Arial" w:cs="Arial"/>
          <w:sz w:val="22"/>
          <w:szCs w:val="22"/>
        </w:rPr>
        <w:t xml:space="preserve"> had already been challenged on the ground that the need to “self-certify” was itself an </w:t>
      </w:r>
      <w:r w:rsidR="00B80334" w:rsidRPr="00F61F1B">
        <w:rPr>
          <w:rFonts w:ascii="Arial" w:hAnsi="Arial" w:cs="Arial"/>
          <w:sz w:val="22"/>
          <w:szCs w:val="22"/>
        </w:rPr>
        <w:t>impermissible burden on</w:t>
      </w:r>
      <w:r w:rsidRPr="00F61F1B">
        <w:rPr>
          <w:rFonts w:ascii="Arial" w:hAnsi="Arial" w:cs="Arial"/>
          <w:sz w:val="22"/>
          <w:szCs w:val="22"/>
        </w:rPr>
        <w:t xml:space="preserve"> religious freedom, and in seven different cases the Courts of Appeals for four different Circuits had already held, on the basis of Justice Kennedy’s 2014 concurrence, that the new arrangements were valid.</w:t>
      </w:r>
      <w:r w:rsidR="004E5B8B">
        <w:rPr>
          <w:rFonts w:ascii="Arial" w:hAnsi="Arial" w:cs="Arial"/>
          <w:sz w:val="22"/>
          <w:szCs w:val="22"/>
        </w:rPr>
        <w:t xml:space="preserve"> </w:t>
      </w:r>
      <w:r w:rsidR="00DB43C9" w:rsidRPr="00F61F1B">
        <w:rPr>
          <w:rFonts w:ascii="Arial" w:hAnsi="Arial" w:cs="Arial"/>
          <w:sz w:val="22"/>
          <w:szCs w:val="22"/>
        </w:rPr>
        <w:t>On 6 November</w:t>
      </w:r>
      <w:r w:rsidRPr="00F61F1B">
        <w:rPr>
          <w:rFonts w:ascii="Arial" w:hAnsi="Arial" w:cs="Arial"/>
          <w:sz w:val="22"/>
          <w:szCs w:val="22"/>
        </w:rPr>
        <w:t xml:space="preserve"> 2015 the Supreme Court granted certiorari in all seven cases</w:t>
      </w:r>
      <w:proofErr w:type="gramStart"/>
      <w:r w:rsidRPr="00F61F1B">
        <w:rPr>
          <w:rFonts w:ascii="Arial" w:hAnsi="Arial" w:cs="Arial"/>
          <w:sz w:val="22"/>
          <w:szCs w:val="22"/>
        </w:rPr>
        <w:t>.</w:t>
      </w:r>
      <w:r w:rsidR="00DB43C9" w:rsidRPr="00F61F1B">
        <w:rPr>
          <w:rFonts w:ascii="Arial" w:hAnsi="Arial" w:cs="Arial"/>
          <w:color w:val="392B7D"/>
          <w:sz w:val="22"/>
          <w:szCs w:val="22"/>
        </w:rPr>
        <w:t>[</w:t>
      </w:r>
      <w:proofErr w:type="gramEnd"/>
      <w:r w:rsidR="00B80334" w:rsidRPr="00F61F1B">
        <w:rPr>
          <w:rStyle w:val="EndnoteReference"/>
          <w:rFonts w:ascii="Arial" w:hAnsi="Arial" w:cs="Arial"/>
          <w:color w:val="392B7D"/>
          <w:sz w:val="22"/>
          <w:szCs w:val="22"/>
          <w:vertAlign w:val="baseline"/>
        </w:rPr>
        <w:endnoteReference w:id="9"/>
      </w:r>
      <w:r w:rsidR="00DB43C9" w:rsidRPr="00F61F1B">
        <w:rPr>
          <w:rFonts w:ascii="Arial" w:hAnsi="Arial" w:cs="Arial"/>
          <w:color w:val="392B7D"/>
          <w:sz w:val="22"/>
          <w:szCs w:val="22"/>
        </w:rPr>
        <w:t>]</w:t>
      </w:r>
    </w:p>
    <w:p w14:paraId="29AAF92D" w14:textId="77777777" w:rsidR="0082604A" w:rsidRPr="00F61F1B" w:rsidRDefault="0082604A" w:rsidP="00F61F1B">
      <w:pPr>
        <w:pStyle w:val="Default"/>
        <w:spacing w:line="300" w:lineRule="exact"/>
        <w:rPr>
          <w:rFonts w:ascii="Arial" w:hAnsi="Arial" w:cs="Arial"/>
          <w:sz w:val="22"/>
          <w:szCs w:val="22"/>
        </w:rPr>
      </w:pPr>
    </w:p>
    <w:p w14:paraId="1F25F06B" w14:textId="420265D1" w:rsidR="0082604A" w:rsidRPr="00F61F1B" w:rsidRDefault="0082604A" w:rsidP="00F61F1B">
      <w:pPr>
        <w:pStyle w:val="Default"/>
        <w:spacing w:line="300" w:lineRule="exact"/>
        <w:rPr>
          <w:rFonts w:ascii="Arial" w:hAnsi="Arial" w:cs="Arial"/>
          <w:sz w:val="22"/>
          <w:szCs w:val="22"/>
        </w:rPr>
      </w:pPr>
      <w:r w:rsidRPr="00F61F1B">
        <w:rPr>
          <w:rFonts w:ascii="Arial" w:hAnsi="Arial" w:cs="Arial"/>
          <w:sz w:val="22"/>
          <w:szCs w:val="22"/>
        </w:rPr>
        <w:t>Yet when the seven cases came on together for oral argument on the Wednesday before Easter</w:t>
      </w:r>
      <w:proofErr w:type="gramStart"/>
      <w:r w:rsidRPr="00F61F1B">
        <w:rPr>
          <w:rFonts w:ascii="Arial" w:hAnsi="Arial" w:cs="Arial"/>
          <w:sz w:val="22"/>
          <w:szCs w:val="22"/>
        </w:rPr>
        <w:t>,</w:t>
      </w:r>
      <w:r w:rsidR="00DB43C9" w:rsidRPr="00F61F1B">
        <w:rPr>
          <w:rFonts w:ascii="Arial" w:hAnsi="Arial" w:cs="Arial"/>
          <w:color w:val="5F497A" w:themeColor="accent4" w:themeShade="BF"/>
          <w:sz w:val="22"/>
          <w:szCs w:val="22"/>
        </w:rPr>
        <w:t>[</w:t>
      </w:r>
      <w:proofErr w:type="gramEnd"/>
      <w:r w:rsidR="00DB43C9" w:rsidRPr="00F61F1B">
        <w:rPr>
          <w:rStyle w:val="EndnoteReference"/>
          <w:rFonts w:ascii="Arial" w:hAnsi="Arial" w:cs="Arial"/>
          <w:color w:val="5F497A" w:themeColor="accent4" w:themeShade="BF"/>
          <w:sz w:val="22"/>
          <w:szCs w:val="22"/>
          <w:vertAlign w:val="baseline"/>
        </w:rPr>
        <w:endnoteReference w:id="10"/>
      </w:r>
      <w:r w:rsidR="00DB43C9" w:rsidRPr="00F61F1B">
        <w:rPr>
          <w:rFonts w:ascii="Arial" w:hAnsi="Arial" w:cs="Arial"/>
          <w:color w:val="5F497A" w:themeColor="accent4" w:themeShade="BF"/>
          <w:sz w:val="22"/>
          <w:szCs w:val="22"/>
        </w:rPr>
        <w:t xml:space="preserve">] </w:t>
      </w:r>
      <w:r w:rsidRPr="00F61F1B">
        <w:rPr>
          <w:rFonts w:ascii="Arial" w:hAnsi="Arial" w:cs="Arial"/>
          <w:sz w:val="22"/>
          <w:szCs w:val="22"/>
        </w:rPr>
        <w:t xml:space="preserve">Justice </w:t>
      </w:r>
      <w:r w:rsidRPr="00F61F1B">
        <w:rPr>
          <w:rFonts w:ascii="Arial" w:hAnsi="Arial" w:cs="Arial"/>
          <w:color w:val="auto"/>
          <w:sz w:val="22"/>
          <w:szCs w:val="22"/>
        </w:rPr>
        <w:t xml:space="preserve">Kennedy </w:t>
      </w:r>
      <w:r w:rsidRPr="00F61F1B">
        <w:rPr>
          <w:rFonts w:ascii="Arial" w:hAnsi="Arial" w:cs="Arial"/>
          <w:sz w:val="22"/>
          <w:szCs w:val="22"/>
        </w:rPr>
        <w:t xml:space="preserve">appeared to be doubting whether </w:t>
      </w:r>
      <w:r w:rsidR="00DB43C9" w:rsidRPr="00F61F1B">
        <w:rPr>
          <w:rFonts w:ascii="Arial" w:hAnsi="Arial" w:cs="Arial"/>
          <w:sz w:val="22"/>
          <w:szCs w:val="22"/>
        </w:rPr>
        <w:t>such</w:t>
      </w:r>
      <w:r w:rsidRPr="00F61F1B">
        <w:rPr>
          <w:rFonts w:ascii="Arial" w:hAnsi="Arial" w:cs="Arial"/>
          <w:sz w:val="22"/>
          <w:szCs w:val="22"/>
        </w:rPr>
        <w:t xml:space="preserve"> arrangements were valid even for non-profit </w:t>
      </w:r>
      <w:r w:rsidR="00195785" w:rsidRPr="00F61F1B">
        <w:rPr>
          <w:rFonts w:ascii="Arial" w:hAnsi="Arial" w:cs="Arial"/>
          <w:sz w:val="22"/>
          <w:szCs w:val="22"/>
        </w:rPr>
        <w:t>organisation</w:t>
      </w:r>
      <w:r w:rsidRPr="00F61F1B">
        <w:rPr>
          <w:rFonts w:ascii="Arial" w:hAnsi="Arial" w:cs="Arial"/>
          <w:sz w:val="22"/>
          <w:szCs w:val="22"/>
        </w:rPr>
        <w:t xml:space="preserve">s; and if he were to </w:t>
      </w:r>
      <w:proofErr w:type="spellStart"/>
      <w:r w:rsidRPr="00F61F1B">
        <w:rPr>
          <w:rFonts w:ascii="Arial" w:hAnsi="Arial" w:cs="Arial"/>
          <w:sz w:val="22"/>
          <w:szCs w:val="22"/>
        </w:rPr>
        <w:t>resile</w:t>
      </w:r>
      <w:proofErr w:type="spellEnd"/>
      <w:r w:rsidRPr="00F61F1B">
        <w:rPr>
          <w:rFonts w:ascii="Arial" w:hAnsi="Arial" w:cs="Arial"/>
          <w:sz w:val="22"/>
          <w:szCs w:val="22"/>
        </w:rPr>
        <w:t xml:space="preserve"> from his earlier view</w:t>
      </w:r>
      <w:r w:rsidR="003C60A0" w:rsidRPr="00F61F1B">
        <w:rPr>
          <w:rFonts w:ascii="Arial" w:hAnsi="Arial" w:cs="Arial"/>
          <w:sz w:val="22"/>
          <w:szCs w:val="22"/>
        </w:rPr>
        <w:t>,</w:t>
      </w:r>
      <w:r w:rsidRPr="00F61F1B">
        <w:rPr>
          <w:rFonts w:ascii="Arial" w:hAnsi="Arial" w:cs="Arial"/>
          <w:sz w:val="22"/>
          <w:szCs w:val="22"/>
        </w:rPr>
        <w:t xml:space="preserve"> while the other seven judges adhered to the views they had taken in 2014, the result would be a 4:4 division.</w:t>
      </w:r>
      <w:r w:rsidR="004E5B8B">
        <w:rPr>
          <w:rFonts w:ascii="Arial" w:hAnsi="Arial" w:cs="Arial"/>
          <w:sz w:val="22"/>
          <w:szCs w:val="22"/>
        </w:rPr>
        <w:t xml:space="preserve"> </w:t>
      </w:r>
      <w:r w:rsidR="00874BF1" w:rsidRPr="00F61F1B">
        <w:rPr>
          <w:rFonts w:ascii="Arial" w:hAnsi="Arial" w:cs="Arial"/>
          <w:sz w:val="22"/>
          <w:szCs w:val="22"/>
        </w:rPr>
        <w:t>Its practical effect</w:t>
      </w:r>
      <w:r w:rsidRPr="00F61F1B">
        <w:rPr>
          <w:rFonts w:ascii="Arial" w:hAnsi="Arial" w:cs="Arial"/>
          <w:sz w:val="22"/>
          <w:szCs w:val="22"/>
        </w:rPr>
        <w:t xml:space="preserve"> would be that the seven decisions </w:t>
      </w:r>
      <w:r w:rsidR="003C60A0" w:rsidRPr="00F61F1B">
        <w:rPr>
          <w:rFonts w:ascii="Arial" w:hAnsi="Arial" w:cs="Arial"/>
          <w:sz w:val="22"/>
          <w:szCs w:val="22"/>
        </w:rPr>
        <w:t>already appealed from</w:t>
      </w:r>
      <w:r w:rsidRPr="00F61F1B">
        <w:rPr>
          <w:rFonts w:ascii="Arial" w:hAnsi="Arial" w:cs="Arial"/>
          <w:sz w:val="22"/>
          <w:szCs w:val="22"/>
        </w:rPr>
        <w:t xml:space="preserve"> would stand.</w:t>
      </w:r>
      <w:r w:rsidR="004E5B8B">
        <w:rPr>
          <w:rFonts w:ascii="Arial" w:hAnsi="Arial" w:cs="Arial"/>
          <w:sz w:val="22"/>
          <w:szCs w:val="22"/>
        </w:rPr>
        <w:t xml:space="preserve"> </w:t>
      </w:r>
      <w:r w:rsidRPr="00F61F1B">
        <w:rPr>
          <w:rFonts w:ascii="Arial" w:hAnsi="Arial" w:cs="Arial"/>
          <w:sz w:val="22"/>
          <w:szCs w:val="22"/>
        </w:rPr>
        <w:t xml:space="preserve">Moreover, apart from those seven decisions, there had by now been similar decisions </w:t>
      </w:r>
      <w:r w:rsidR="00874BF1" w:rsidRPr="00F61F1B">
        <w:rPr>
          <w:rFonts w:ascii="Arial" w:hAnsi="Arial" w:cs="Arial"/>
          <w:sz w:val="22"/>
          <w:szCs w:val="22"/>
        </w:rPr>
        <w:t>by the Courts of Appeals</w:t>
      </w:r>
      <w:r w:rsidRPr="00F61F1B">
        <w:rPr>
          <w:rFonts w:ascii="Arial" w:hAnsi="Arial" w:cs="Arial"/>
          <w:sz w:val="22"/>
          <w:szCs w:val="22"/>
        </w:rPr>
        <w:t xml:space="preserve"> </w:t>
      </w:r>
      <w:r w:rsidR="00874BF1" w:rsidRPr="00F61F1B">
        <w:rPr>
          <w:rFonts w:ascii="Arial" w:hAnsi="Arial" w:cs="Arial"/>
          <w:sz w:val="22"/>
          <w:szCs w:val="22"/>
        </w:rPr>
        <w:t xml:space="preserve">for </w:t>
      </w:r>
      <w:r w:rsidRPr="00F61F1B">
        <w:rPr>
          <w:rFonts w:ascii="Arial" w:hAnsi="Arial" w:cs="Arial"/>
          <w:sz w:val="22"/>
          <w:szCs w:val="22"/>
        </w:rPr>
        <w:t>the Second</w:t>
      </w:r>
      <w:r w:rsidR="003C60A0" w:rsidRPr="00F61F1B">
        <w:rPr>
          <w:rFonts w:ascii="Arial" w:hAnsi="Arial" w:cs="Arial"/>
          <w:sz w:val="22"/>
          <w:szCs w:val="22"/>
        </w:rPr>
        <w:t>, Sixth, Seventh and Eleventh</w:t>
      </w:r>
      <w:r w:rsidRPr="00F61F1B">
        <w:rPr>
          <w:rFonts w:ascii="Arial" w:hAnsi="Arial" w:cs="Arial"/>
          <w:sz w:val="22"/>
          <w:szCs w:val="22"/>
        </w:rPr>
        <w:t xml:space="preserve"> Circuit</w:t>
      </w:r>
      <w:r w:rsidR="003C60A0" w:rsidRPr="00F61F1B">
        <w:rPr>
          <w:rFonts w:ascii="Arial" w:hAnsi="Arial" w:cs="Arial"/>
          <w:sz w:val="22"/>
          <w:szCs w:val="22"/>
        </w:rPr>
        <w:t>s.</w:t>
      </w:r>
      <w:r w:rsidR="003C60A0" w:rsidRPr="00F61F1B">
        <w:rPr>
          <w:rFonts w:ascii="Arial" w:hAnsi="Arial" w:cs="Arial"/>
          <w:color w:val="392B7D"/>
          <w:sz w:val="22"/>
          <w:szCs w:val="22"/>
        </w:rPr>
        <w:t>[</w:t>
      </w:r>
      <w:r w:rsidR="003C60A0" w:rsidRPr="00F61F1B">
        <w:rPr>
          <w:rStyle w:val="EndnoteReference"/>
          <w:rFonts w:ascii="Arial" w:hAnsi="Arial" w:cs="Arial"/>
          <w:color w:val="392B7D"/>
          <w:sz w:val="22"/>
          <w:szCs w:val="22"/>
          <w:vertAlign w:val="baseline"/>
        </w:rPr>
        <w:endnoteReference w:id="11"/>
      </w:r>
      <w:r w:rsidR="003C60A0" w:rsidRPr="00F61F1B">
        <w:rPr>
          <w:rFonts w:ascii="Arial" w:hAnsi="Arial" w:cs="Arial"/>
          <w:color w:val="392B7D"/>
          <w:sz w:val="22"/>
          <w:szCs w:val="22"/>
        </w:rPr>
        <w:t>]</w:t>
      </w:r>
      <w:r w:rsidRPr="00F61F1B">
        <w:rPr>
          <w:rFonts w:ascii="Arial" w:hAnsi="Arial" w:cs="Arial"/>
          <w:sz w:val="22"/>
          <w:szCs w:val="22"/>
        </w:rPr>
        <w:t>.</w:t>
      </w:r>
      <w:r w:rsidR="004E5B8B">
        <w:rPr>
          <w:rFonts w:ascii="Arial" w:hAnsi="Arial" w:cs="Arial"/>
          <w:sz w:val="22"/>
          <w:szCs w:val="22"/>
        </w:rPr>
        <w:t xml:space="preserve"> </w:t>
      </w:r>
      <w:r w:rsidRPr="00F61F1B">
        <w:rPr>
          <w:rFonts w:ascii="Arial" w:hAnsi="Arial" w:cs="Arial"/>
          <w:sz w:val="22"/>
          <w:szCs w:val="22"/>
        </w:rPr>
        <w:t>Only</w:t>
      </w:r>
      <w:r w:rsidR="00E321B3" w:rsidRPr="00F61F1B">
        <w:rPr>
          <w:rFonts w:ascii="Arial" w:hAnsi="Arial" w:cs="Arial"/>
          <w:sz w:val="22"/>
          <w:szCs w:val="22"/>
        </w:rPr>
        <w:t xml:space="preserve"> two cases in</w:t>
      </w:r>
      <w:r w:rsidRPr="00F61F1B">
        <w:rPr>
          <w:rFonts w:ascii="Arial" w:hAnsi="Arial" w:cs="Arial"/>
          <w:sz w:val="22"/>
          <w:szCs w:val="22"/>
        </w:rPr>
        <w:t xml:space="preserve"> </w:t>
      </w:r>
      <w:r w:rsidR="003C60A0" w:rsidRPr="00F61F1B">
        <w:rPr>
          <w:rFonts w:ascii="Arial" w:hAnsi="Arial" w:cs="Arial"/>
          <w:sz w:val="22"/>
          <w:szCs w:val="22"/>
        </w:rPr>
        <w:t xml:space="preserve">the </w:t>
      </w:r>
      <w:r w:rsidRPr="00F61F1B">
        <w:rPr>
          <w:rFonts w:ascii="Arial" w:hAnsi="Arial" w:cs="Arial"/>
          <w:sz w:val="22"/>
          <w:szCs w:val="22"/>
        </w:rPr>
        <w:t>Eighth Circuit had gone the other way</w:t>
      </w:r>
      <w:proofErr w:type="gramStart"/>
      <w:r w:rsidRPr="00F61F1B">
        <w:rPr>
          <w:rFonts w:ascii="Arial" w:hAnsi="Arial" w:cs="Arial"/>
          <w:sz w:val="22"/>
          <w:szCs w:val="22"/>
        </w:rPr>
        <w:t>.</w:t>
      </w:r>
      <w:r w:rsidR="003C60A0" w:rsidRPr="00F61F1B">
        <w:rPr>
          <w:rFonts w:ascii="Arial" w:hAnsi="Arial" w:cs="Arial"/>
          <w:color w:val="392B7D"/>
          <w:sz w:val="22"/>
          <w:szCs w:val="22"/>
        </w:rPr>
        <w:t>[</w:t>
      </w:r>
      <w:proofErr w:type="gramEnd"/>
      <w:r w:rsidR="003C60A0" w:rsidRPr="00F61F1B">
        <w:rPr>
          <w:rStyle w:val="EndnoteReference"/>
          <w:rFonts w:ascii="Arial" w:hAnsi="Arial" w:cs="Arial"/>
          <w:color w:val="392B7D"/>
          <w:sz w:val="22"/>
          <w:szCs w:val="22"/>
          <w:vertAlign w:val="baseline"/>
        </w:rPr>
        <w:endnoteReference w:id="12"/>
      </w:r>
      <w:r w:rsidR="003C60A0" w:rsidRPr="00F61F1B">
        <w:rPr>
          <w:rFonts w:ascii="Arial" w:hAnsi="Arial" w:cs="Arial"/>
          <w:color w:val="392B7D"/>
          <w:sz w:val="22"/>
          <w:szCs w:val="22"/>
        </w:rPr>
        <w:t>]</w:t>
      </w:r>
    </w:p>
    <w:p w14:paraId="0D84EDC6" w14:textId="77777777" w:rsidR="00114E74" w:rsidRPr="00F61F1B" w:rsidRDefault="00114E74" w:rsidP="00F61F1B">
      <w:pPr>
        <w:spacing w:after="0" w:line="300" w:lineRule="exact"/>
        <w:rPr>
          <w:rFonts w:ascii="Arial" w:hAnsi="Arial" w:cs="Arial"/>
        </w:rPr>
      </w:pPr>
    </w:p>
    <w:p w14:paraId="3FA2818C" w14:textId="6A3697D8" w:rsidR="00B938D3" w:rsidRPr="00F61F1B" w:rsidRDefault="00C90090" w:rsidP="00594A8D">
      <w:pPr>
        <w:tabs>
          <w:tab w:val="left" w:pos="5103"/>
        </w:tabs>
        <w:spacing w:after="0" w:line="300" w:lineRule="exact"/>
        <w:rPr>
          <w:rFonts w:ascii="Arial" w:hAnsi="Arial" w:cs="Arial"/>
        </w:rPr>
      </w:pPr>
      <w:r w:rsidRPr="00F61F1B">
        <w:rPr>
          <w:rFonts w:ascii="Arial" w:hAnsi="Arial" w:cs="Arial"/>
        </w:rPr>
        <w:t>The looming result of an even 4:4 division would be chaotic.</w:t>
      </w:r>
      <w:r w:rsidR="004E5B8B">
        <w:rPr>
          <w:rFonts w:ascii="Arial" w:hAnsi="Arial" w:cs="Arial"/>
        </w:rPr>
        <w:t xml:space="preserve"> </w:t>
      </w:r>
      <w:r w:rsidRPr="00F61F1B">
        <w:rPr>
          <w:rFonts w:ascii="Arial" w:hAnsi="Arial" w:cs="Arial"/>
        </w:rPr>
        <w:t>In the seven States comprised within the Eight</w:t>
      </w:r>
      <w:r w:rsidR="00E321B3" w:rsidRPr="00F61F1B">
        <w:rPr>
          <w:rFonts w:ascii="Arial" w:hAnsi="Arial" w:cs="Arial"/>
        </w:rPr>
        <w:t>h</w:t>
      </w:r>
      <w:r w:rsidRPr="00F61F1B">
        <w:rPr>
          <w:rFonts w:ascii="Arial" w:hAnsi="Arial" w:cs="Arial"/>
        </w:rPr>
        <w:t xml:space="preserve"> </w:t>
      </w:r>
      <w:proofErr w:type="gramStart"/>
      <w:r w:rsidRPr="00F61F1B">
        <w:rPr>
          <w:rFonts w:ascii="Arial" w:hAnsi="Arial" w:cs="Arial"/>
        </w:rPr>
        <w:t>Circuit</w:t>
      </w:r>
      <w:r w:rsidRPr="00F61F1B">
        <w:rPr>
          <w:rFonts w:ascii="Arial" w:hAnsi="Arial" w:cs="Arial"/>
          <w:color w:val="392B7D"/>
        </w:rPr>
        <w:t>[</w:t>
      </w:r>
      <w:proofErr w:type="gramEnd"/>
      <w:r w:rsidRPr="00F61F1B">
        <w:rPr>
          <w:rStyle w:val="EndnoteReference"/>
          <w:rFonts w:ascii="Arial" w:hAnsi="Arial" w:cs="Arial"/>
          <w:color w:val="392B7D"/>
          <w:vertAlign w:val="baseline"/>
        </w:rPr>
        <w:endnoteReference w:id="13"/>
      </w:r>
      <w:r w:rsidRPr="00F61F1B">
        <w:rPr>
          <w:rFonts w:ascii="Arial" w:hAnsi="Arial" w:cs="Arial"/>
          <w:color w:val="392B7D"/>
        </w:rPr>
        <w:t>]</w:t>
      </w:r>
      <w:r w:rsidRPr="00F61F1B">
        <w:rPr>
          <w:rFonts w:ascii="Arial" w:hAnsi="Arial" w:cs="Arial"/>
        </w:rPr>
        <w:t xml:space="preserve"> the “self-certification” system for religious employers would be </w:t>
      </w:r>
      <w:r w:rsidRPr="00F61F1B">
        <w:rPr>
          <w:rFonts w:ascii="Arial" w:hAnsi="Arial" w:cs="Arial"/>
        </w:rPr>
        <w:lastRenderedPageBreak/>
        <w:t>unavailable; in most of the other States it would still be validly maintained in force.</w:t>
      </w:r>
      <w:r w:rsidR="004E5B8B">
        <w:rPr>
          <w:rFonts w:ascii="Arial" w:hAnsi="Arial" w:cs="Arial"/>
        </w:rPr>
        <w:t xml:space="preserve"> </w:t>
      </w:r>
      <w:r w:rsidR="00E321B3" w:rsidRPr="00F61F1B">
        <w:rPr>
          <w:rFonts w:ascii="Arial" w:hAnsi="Arial" w:cs="Arial"/>
        </w:rPr>
        <w:t>Moreover, if an appeal from one of the decisions in the Eighth Circuit came on for hearing while the Court was still evenly divided, the same untenable situation would be affirmed again.</w:t>
      </w:r>
      <w:r w:rsidR="004E5B8B">
        <w:rPr>
          <w:rFonts w:ascii="Arial" w:hAnsi="Arial" w:cs="Arial"/>
        </w:rPr>
        <w:t xml:space="preserve"> </w:t>
      </w:r>
      <w:r w:rsidR="00E321B3" w:rsidRPr="00F61F1B">
        <w:rPr>
          <w:rFonts w:ascii="Arial" w:hAnsi="Arial" w:cs="Arial"/>
        </w:rPr>
        <w:t>Accordingly, on the Tuesday after Easter, the Court took the unusual step</w:t>
      </w:r>
      <w:r w:rsidR="0018608B" w:rsidRPr="00F61F1B">
        <w:rPr>
          <w:rFonts w:ascii="Arial" w:hAnsi="Arial" w:cs="Arial"/>
          <w:color w:val="392B7D"/>
        </w:rPr>
        <w:t>[</w:t>
      </w:r>
      <w:r w:rsidR="0018608B" w:rsidRPr="00F61F1B">
        <w:rPr>
          <w:rStyle w:val="EndnoteReference"/>
          <w:rFonts w:ascii="Arial" w:hAnsi="Arial" w:cs="Arial"/>
          <w:color w:val="392B7D"/>
          <w:vertAlign w:val="baseline"/>
        </w:rPr>
        <w:endnoteReference w:id="14"/>
      </w:r>
      <w:r w:rsidR="0018608B" w:rsidRPr="00F61F1B">
        <w:rPr>
          <w:rFonts w:ascii="Arial" w:hAnsi="Arial" w:cs="Arial"/>
          <w:color w:val="392B7D"/>
        </w:rPr>
        <w:t>]</w:t>
      </w:r>
      <w:r w:rsidR="00E321B3" w:rsidRPr="00F61F1B">
        <w:rPr>
          <w:rFonts w:ascii="Arial" w:hAnsi="Arial" w:cs="Arial"/>
        </w:rPr>
        <w:t xml:space="preserve"> of issuing an interim order</w:t>
      </w:r>
      <w:r w:rsidR="00D75505" w:rsidRPr="00F61F1B">
        <w:rPr>
          <w:rFonts w:ascii="Arial" w:hAnsi="Arial" w:cs="Arial"/>
          <w:color w:val="392B7D"/>
        </w:rPr>
        <w:t>[</w:t>
      </w:r>
      <w:r w:rsidR="00E321B3" w:rsidRPr="00F61F1B">
        <w:rPr>
          <w:rStyle w:val="EndnoteReference"/>
          <w:rFonts w:ascii="Arial" w:hAnsi="Arial" w:cs="Arial"/>
          <w:color w:val="392B7D"/>
          <w:vertAlign w:val="baseline"/>
        </w:rPr>
        <w:endnoteReference w:id="15"/>
      </w:r>
      <w:r w:rsidR="00D75505" w:rsidRPr="00F61F1B">
        <w:rPr>
          <w:rFonts w:ascii="Arial" w:hAnsi="Arial" w:cs="Arial"/>
          <w:color w:val="392B7D"/>
        </w:rPr>
        <w:t>]</w:t>
      </w:r>
      <w:r w:rsidR="00D75505" w:rsidRPr="00F61F1B">
        <w:rPr>
          <w:rFonts w:ascii="Arial" w:hAnsi="Arial" w:cs="Arial"/>
        </w:rPr>
        <w:t xml:space="preserve"> directing the parties to supplement their oral arguments the previous Wednesday, by filing </w:t>
      </w:r>
      <w:r w:rsidR="00FA6CB5" w:rsidRPr="00F61F1B">
        <w:rPr>
          <w:rFonts w:ascii="Arial" w:hAnsi="Arial" w:cs="Arial"/>
        </w:rPr>
        <w:t>additional</w:t>
      </w:r>
      <w:r w:rsidR="00D75505" w:rsidRPr="00F61F1B">
        <w:rPr>
          <w:rFonts w:ascii="Arial" w:hAnsi="Arial" w:cs="Arial"/>
        </w:rPr>
        <w:t xml:space="preserve"> written briefs </w:t>
      </w:r>
      <w:r w:rsidR="00EB4BD2" w:rsidRPr="00F61F1B">
        <w:rPr>
          <w:rFonts w:ascii="Arial" w:hAnsi="Arial" w:cs="Arial"/>
        </w:rPr>
        <w:t xml:space="preserve">(due to be filed on 12 April) </w:t>
      </w:r>
      <w:r w:rsidR="00D75505" w:rsidRPr="00F61F1B">
        <w:rPr>
          <w:rFonts w:ascii="Arial" w:hAnsi="Arial" w:cs="Arial"/>
        </w:rPr>
        <w:t>exploring ways in which “contraceptive coverage may be obtained by petitioners’ employees through petitioners’ insurance companies … in a way that does not require any involvement of petitioners beyond their own decision to provide health insurance without contraceptive coverage to their employees”.</w:t>
      </w:r>
    </w:p>
    <w:p w14:paraId="5850AFAD" w14:textId="77777777" w:rsidR="00B938D3" w:rsidRPr="00F61F1B" w:rsidRDefault="00B938D3" w:rsidP="00F61F1B">
      <w:pPr>
        <w:spacing w:after="0" w:line="300" w:lineRule="exact"/>
        <w:rPr>
          <w:rFonts w:ascii="Arial" w:hAnsi="Arial" w:cs="Arial"/>
        </w:rPr>
      </w:pPr>
    </w:p>
    <w:p w14:paraId="2A705531" w14:textId="712B03FD" w:rsidR="00C90090" w:rsidRPr="00F61F1B" w:rsidRDefault="00B938D3" w:rsidP="00F61F1B">
      <w:pPr>
        <w:spacing w:after="0" w:line="300" w:lineRule="exact"/>
        <w:rPr>
          <w:rFonts w:ascii="Arial" w:hAnsi="Arial" w:cs="Arial"/>
        </w:rPr>
      </w:pPr>
      <w:r w:rsidRPr="00F61F1B">
        <w:rPr>
          <w:rFonts w:ascii="Arial" w:hAnsi="Arial" w:cs="Arial"/>
        </w:rPr>
        <w:t xml:space="preserve">The Court even offered its own suggestion and invited the parties to comment: What if the employers were merely to </w:t>
      </w:r>
      <w:r w:rsidRPr="00F61F1B">
        <w:rPr>
          <w:rFonts w:ascii="Arial" w:hAnsi="Arial" w:cs="Arial"/>
          <w:i/>
        </w:rPr>
        <w:t>inform</w:t>
      </w:r>
      <w:r w:rsidRPr="00F61F1B">
        <w:rPr>
          <w:rFonts w:ascii="Arial" w:hAnsi="Arial" w:cs="Arial"/>
        </w:rPr>
        <w:t xml:space="preserve"> their insurers “that they do not want their health plan to include contraceptive coverage”, and the insurers would then </w:t>
      </w:r>
      <w:r w:rsidRPr="00F61F1B">
        <w:rPr>
          <w:rFonts w:ascii="Arial" w:hAnsi="Arial" w:cs="Arial"/>
          <w:i/>
        </w:rPr>
        <w:t>inform</w:t>
      </w:r>
      <w:r w:rsidRPr="00F61F1B">
        <w:rPr>
          <w:rFonts w:ascii="Arial" w:hAnsi="Arial" w:cs="Arial"/>
        </w:rPr>
        <w:t xml:space="preserve"> the employees that they would provide such coverage free of charge?</w:t>
      </w:r>
      <w:r w:rsidR="004E5B8B">
        <w:rPr>
          <w:rFonts w:ascii="Arial" w:hAnsi="Arial" w:cs="Arial"/>
        </w:rPr>
        <w:t xml:space="preserve"> </w:t>
      </w:r>
      <w:r w:rsidRPr="00F61F1B">
        <w:rPr>
          <w:rFonts w:ascii="Arial" w:hAnsi="Arial" w:cs="Arial"/>
        </w:rPr>
        <w:t>The employers “would not be required to submit any separate notice to their insurer, to the Federal Government, or to their employees”.</w:t>
      </w:r>
      <w:r w:rsidR="004E5B8B">
        <w:rPr>
          <w:rFonts w:ascii="Arial" w:hAnsi="Arial" w:cs="Arial"/>
        </w:rPr>
        <w:t xml:space="preserve"> </w:t>
      </w:r>
      <w:r w:rsidRPr="00F61F1B">
        <w:rPr>
          <w:rFonts w:ascii="Arial" w:hAnsi="Arial" w:cs="Arial"/>
        </w:rPr>
        <w:t>Would this be enough to avoid any “burden” on their religious freedom?</w:t>
      </w:r>
    </w:p>
    <w:p w14:paraId="32810E5F" w14:textId="77777777" w:rsidR="00B938D3" w:rsidRPr="00F61F1B" w:rsidRDefault="00B938D3" w:rsidP="00F61F1B">
      <w:pPr>
        <w:spacing w:after="0" w:line="300" w:lineRule="exact"/>
        <w:rPr>
          <w:rFonts w:ascii="Arial" w:hAnsi="Arial" w:cs="Arial"/>
        </w:rPr>
      </w:pPr>
    </w:p>
    <w:p w14:paraId="1C1116A0" w14:textId="5AAEF1CD" w:rsidR="00B938D3" w:rsidRPr="00F61F1B" w:rsidRDefault="00B938D3" w:rsidP="00F61F1B">
      <w:pPr>
        <w:spacing w:after="0" w:line="300" w:lineRule="exact"/>
        <w:rPr>
          <w:rFonts w:ascii="Arial" w:hAnsi="Arial" w:cs="Arial"/>
        </w:rPr>
      </w:pPr>
      <w:r w:rsidRPr="00F61F1B">
        <w:rPr>
          <w:rFonts w:ascii="Arial" w:hAnsi="Arial" w:cs="Arial"/>
        </w:rPr>
        <w:t>It is clear that the Court is trying to establish a basis on which it might be able to arrive at a majority decision.</w:t>
      </w:r>
      <w:r w:rsidR="004E5B8B">
        <w:rPr>
          <w:rFonts w:ascii="Arial" w:hAnsi="Arial" w:cs="Arial"/>
        </w:rPr>
        <w:t xml:space="preserve"> </w:t>
      </w:r>
      <w:r w:rsidRPr="00F61F1B">
        <w:rPr>
          <w:rFonts w:ascii="Arial" w:hAnsi="Arial" w:cs="Arial"/>
        </w:rPr>
        <w:t xml:space="preserve">Yet it is </w:t>
      </w:r>
      <w:r w:rsidR="00FA6CB5" w:rsidRPr="00F61F1B">
        <w:rPr>
          <w:rFonts w:ascii="Arial" w:hAnsi="Arial" w:cs="Arial"/>
        </w:rPr>
        <w:t>less</w:t>
      </w:r>
      <w:r w:rsidRPr="00F61F1B">
        <w:rPr>
          <w:rFonts w:ascii="Arial" w:hAnsi="Arial" w:cs="Arial"/>
        </w:rPr>
        <w:t xml:space="preserve"> clear how this might be achieved.</w:t>
      </w:r>
      <w:r w:rsidR="004E5B8B">
        <w:rPr>
          <w:rFonts w:ascii="Arial" w:hAnsi="Arial" w:cs="Arial"/>
        </w:rPr>
        <w:t xml:space="preserve"> </w:t>
      </w:r>
      <w:r w:rsidRPr="00F61F1B">
        <w:rPr>
          <w:rFonts w:ascii="Arial" w:hAnsi="Arial" w:cs="Arial"/>
        </w:rPr>
        <w:t xml:space="preserve">Presumably, if no realistic alternative arrangement were to emerge, it might be possible to conclude that the present arrangement is “the least restrictive means” of achieving effective contraceptive coverage, and therefore does not infringe the </w:t>
      </w:r>
      <w:r w:rsidRPr="00F61F1B">
        <w:rPr>
          <w:rFonts w:ascii="Arial" w:hAnsi="Arial" w:cs="Arial"/>
          <w:i/>
        </w:rPr>
        <w:t>Religious Freedom Restoration Act</w:t>
      </w:r>
      <w:r w:rsidRPr="00F61F1B">
        <w:rPr>
          <w:rFonts w:ascii="Arial" w:hAnsi="Arial" w:cs="Arial"/>
        </w:rPr>
        <w:t>.</w:t>
      </w:r>
      <w:r w:rsidR="004E5B8B">
        <w:rPr>
          <w:rFonts w:ascii="Arial" w:hAnsi="Arial" w:cs="Arial"/>
        </w:rPr>
        <w:t xml:space="preserve"> </w:t>
      </w:r>
      <w:r w:rsidRPr="00F61F1B">
        <w:rPr>
          <w:rFonts w:ascii="Arial" w:hAnsi="Arial" w:cs="Arial"/>
        </w:rPr>
        <w:t xml:space="preserve">Conversely, if a realistic alternative does emerge, it might follow that the present arrangement is </w:t>
      </w:r>
      <w:r w:rsidRPr="00F61F1B">
        <w:rPr>
          <w:rFonts w:ascii="Arial" w:hAnsi="Arial" w:cs="Arial"/>
          <w:i/>
        </w:rPr>
        <w:t>not</w:t>
      </w:r>
      <w:r w:rsidRPr="00F61F1B">
        <w:rPr>
          <w:rFonts w:ascii="Arial" w:hAnsi="Arial" w:cs="Arial"/>
        </w:rPr>
        <w:t xml:space="preserve"> “the least restrictive means” – and </w:t>
      </w:r>
      <w:r w:rsidR="00FA6CB5" w:rsidRPr="00F61F1B">
        <w:rPr>
          <w:rFonts w:ascii="Arial" w:hAnsi="Arial" w:cs="Arial"/>
        </w:rPr>
        <w:t xml:space="preserve">that might enable </w:t>
      </w:r>
      <w:r w:rsidRPr="00F61F1B">
        <w:rPr>
          <w:rFonts w:ascii="Arial" w:hAnsi="Arial" w:cs="Arial"/>
        </w:rPr>
        <w:t xml:space="preserve">the Court </w:t>
      </w:r>
      <w:r w:rsidR="00FA6CB5" w:rsidRPr="00F61F1B">
        <w:rPr>
          <w:rFonts w:ascii="Arial" w:hAnsi="Arial" w:cs="Arial"/>
        </w:rPr>
        <w:t>to</w:t>
      </w:r>
      <w:r w:rsidRPr="00F61F1B">
        <w:rPr>
          <w:rFonts w:ascii="Arial" w:hAnsi="Arial" w:cs="Arial"/>
        </w:rPr>
        <w:t xml:space="preserve"> rule </w:t>
      </w:r>
      <w:r w:rsidR="00FA6CB5" w:rsidRPr="00F61F1B">
        <w:rPr>
          <w:rFonts w:ascii="Arial" w:hAnsi="Arial" w:cs="Arial"/>
        </w:rPr>
        <w:t>against the present system</w:t>
      </w:r>
      <w:r w:rsidRPr="00F61F1B">
        <w:rPr>
          <w:rFonts w:ascii="Arial" w:hAnsi="Arial" w:cs="Arial"/>
        </w:rPr>
        <w:t>, while also drawing attention to an alternative which the government would be likely to adopt.</w:t>
      </w:r>
      <w:r w:rsidR="004E5B8B">
        <w:rPr>
          <w:rFonts w:ascii="Arial" w:hAnsi="Arial" w:cs="Arial"/>
        </w:rPr>
        <w:t xml:space="preserve"> </w:t>
      </w:r>
      <w:r w:rsidR="00A9094B" w:rsidRPr="00F61F1B">
        <w:rPr>
          <w:rFonts w:ascii="Arial" w:hAnsi="Arial" w:cs="Arial"/>
        </w:rPr>
        <w:t>Whatever the answer, the judicial discussions over Easter must have been intense.</w:t>
      </w:r>
    </w:p>
    <w:p w14:paraId="569DAFDF" w14:textId="77777777" w:rsidR="000B693F" w:rsidRPr="00F61F1B" w:rsidRDefault="000B693F" w:rsidP="00F61F1B">
      <w:pPr>
        <w:spacing w:after="0" w:line="300" w:lineRule="exact"/>
        <w:rPr>
          <w:rFonts w:ascii="Arial" w:hAnsi="Arial" w:cs="Arial"/>
        </w:rPr>
      </w:pPr>
    </w:p>
    <w:p w14:paraId="7A70DD3E" w14:textId="39E1112F" w:rsidR="000B693F" w:rsidRPr="00F61F1B" w:rsidRDefault="0006032D" w:rsidP="00F61F1B">
      <w:pPr>
        <w:pStyle w:val="NoSpacing"/>
        <w:spacing w:line="300" w:lineRule="exact"/>
        <w:rPr>
          <w:rFonts w:ascii="Arial" w:hAnsi="Arial" w:cs="Arial"/>
        </w:rPr>
      </w:pPr>
      <w:r w:rsidRPr="00F61F1B">
        <w:rPr>
          <w:rFonts w:ascii="Arial" w:hAnsi="Arial" w:cs="Arial"/>
        </w:rPr>
        <w:t>In Australia, too,</w:t>
      </w:r>
      <w:r w:rsidR="00A9094B" w:rsidRPr="00F61F1B">
        <w:rPr>
          <w:rFonts w:ascii="Arial" w:hAnsi="Arial" w:cs="Arial"/>
        </w:rPr>
        <w:t xml:space="preserve"> when the High Court sits on appeal,</w:t>
      </w:r>
      <w:r w:rsidRPr="00F61F1B">
        <w:rPr>
          <w:rFonts w:ascii="Arial" w:hAnsi="Arial" w:cs="Arial"/>
        </w:rPr>
        <w:t xml:space="preserve"> an even division </w:t>
      </w:r>
      <w:r w:rsidR="00A9094B" w:rsidRPr="00F61F1B">
        <w:rPr>
          <w:rFonts w:ascii="Arial" w:hAnsi="Arial" w:cs="Arial"/>
        </w:rPr>
        <w:t xml:space="preserve">of opinion </w:t>
      </w:r>
      <w:r w:rsidRPr="00F61F1B">
        <w:rPr>
          <w:rFonts w:ascii="Arial" w:hAnsi="Arial" w:cs="Arial"/>
        </w:rPr>
        <w:t xml:space="preserve">means that the decision below is affirmed; and here, too, the conflicting judgments </w:t>
      </w:r>
      <w:r w:rsidR="00291FFE" w:rsidRPr="00F61F1B">
        <w:rPr>
          <w:rFonts w:ascii="Arial" w:hAnsi="Arial" w:cs="Arial"/>
        </w:rPr>
        <w:t xml:space="preserve">establish no precedent </w:t>
      </w:r>
      <w:r w:rsidRPr="00F61F1B">
        <w:rPr>
          <w:rFonts w:ascii="Arial" w:hAnsi="Arial" w:cs="Arial"/>
        </w:rPr>
        <w:t>either way.</w:t>
      </w:r>
      <w:r w:rsidR="00D5787E" w:rsidRPr="00F61F1B">
        <w:rPr>
          <w:rFonts w:ascii="Arial" w:hAnsi="Arial" w:cs="Arial"/>
          <w:color w:val="392B7D"/>
        </w:rPr>
        <w:t>[</w:t>
      </w:r>
      <w:r w:rsidR="00D5787E" w:rsidRPr="00F61F1B">
        <w:rPr>
          <w:rStyle w:val="EndnoteReference"/>
          <w:rFonts w:ascii="Arial" w:hAnsi="Arial" w:cs="Arial"/>
          <w:color w:val="392B7D"/>
          <w:vertAlign w:val="baseline"/>
        </w:rPr>
        <w:endnoteReference w:id="16"/>
      </w:r>
      <w:r w:rsidR="00D5787E" w:rsidRPr="00F61F1B">
        <w:rPr>
          <w:rFonts w:ascii="Arial" w:hAnsi="Arial" w:cs="Arial"/>
          <w:color w:val="392B7D"/>
        </w:rPr>
        <w:t>]</w:t>
      </w:r>
      <w:r w:rsidR="004E5B8B">
        <w:rPr>
          <w:rFonts w:ascii="Arial" w:hAnsi="Arial" w:cs="Arial"/>
        </w:rPr>
        <w:t xml:space="preserve"> </w:t>
      </w:r>
      <w:r w:rsidRPr="00F61F1B">
        <w:rPr>
          <w:rFonts w:ascii="Arial" w:hAnsi="Arial" w:cs="Arial"/>
        </w:rPr>
        <w:t>But our practice is that the conflicting judgments are at least delivered.</w:t>
      </w:r>
      <w:r w:rsidR="004E5B8B">
        <w:rPr>
          <w:rFonts w:ascii="Arial" w:hAnsi="Arial" w:cs="Arial"/>
        </w:rPr>
        <w:t xml:space="preserve"> </w:t>
      </w:r>
      <w:r w:rsidR="00BB7460" w:rsidRPr="00F61F1B">
        <w:rPr>
          <w:rFonts w:ascii="Arial" w:hAnsi="Arial" w:cs="Arial"/>
        </w:rPr>
        <w:t xml:space="preserve">In each of the </w:t>
      </w:r>
      <w:r w:rsidR="00A9094B" w:rsidRPr="00F61F1B">
        <w:rPr>
          <w:rFonts w:ascii="Arial" w:hAnsi="Arial" w:cs="Arial"/>
        </w:rPr>
        <w:t>two</w:t>
      </w:r>
      <w:r w:rsidR="00BB7460" w:rsidRPr="00F61F1B">
        <w:rPr>
          <w:rFonts w:ascii="Arial" w:hAnsi="Arial" w:cs="Arial"/>
        </w:rPr>
        <w:t xml:space="preserve"> cases</w:t>
      </w:r>
      <w:r w:rsidR="00A9094B" w:rsidRPr="00F61F1B">
        <w:rPr>
          <w:rFonts w:ascii="Arial" w:hAnsi="Arial" w:cs="Arial"/>
        </w:rPr>
        <w:t xml:space="preserve"> disposed of in March</w:t>
      </w:r>
      <w:r w:rsidR="00BB7460" w:rsidRPr="00F61F1B">
        <w:rPr>
          <w:rFonts w:ascii="Arial" w:hAnsi="Arial" w:cs="Arial"/>
        </w:rPr>
        <w:t>, t</w:t>
      </w:r>
      <w:r w:rsidRPr="00F61F1B">
        <w:rPr>
          <w:rFonts w:ascii="Arial" w:hAnsi="Arial" w:cs="Arial"/>
        </w:rPr>
        <w:t>he Supreme Court gave just a nine-word announcement: “The judgment is affirmed by an equally divided Court.”</w:t>
      </w:r>
    </w:p>
    <w:p w14:paraId="56E48E8E" w14:textId="77777777" w:rsidR="000B693F" w:rsidRPr="00F61F1B" w:rsidRDefault="000B693F" w:rsidP="00F61F1B">
      <w:pPr>
        <w:spacing w:after="0" w:line="300" w:lineRule="exact"/>
        <w:rPr>
          <w:rFonts w:ascii="Arial" w:hAnsi="Arial" w:cs="Arial"/>
        </w:rPr>
      </w:pPr>
    </w:p>
    <w:p w14:paraId="193DC151" w14:textId="3B84E735" w:rsidR="000B693F" w:rsidRPr="00F61F1B" w:rsidRDefault="0006032D" w:rsidP="00F61F1B">
      <w:pPr>
        <w:spacing w:after="0" w:line="300" w:lineRule="exact"/>
        <w:rPr>
          <w:rFonts w:ascii="Arial" w:hAnsi="Arial" w:cs="Arial"/>
        </w:rPr>
      </w:pPr>
      <w:r w:rsidRPr="00F61F1B">
        <w:rPr>
          <w:rFonts w:ascii="Arial" w:hAnsi="Arial" w:cs="Arial"/>
        </w:rPr>
        <w:t xml:space="preserve">The Australian rule is more complicated because an even division may also arise in the High Court’s original jurisdiction, where there is no judgment below; and in such a case our </w:t>
      </w:r>
      <w:r w:rsidR="00FA6CB5" w:rsidRPr="00F61F1B">
        <w:rPr>
          <w:rFonts w:ascii="Arial" w:hAnsi="Arial" w:cs="Arial"/>
        </w:rPr>
        <w:t>solution</w:t>
      </w:r>
      <w:r w:rsidRPr="00F61F1B">
        <w:rPr>
          <w:rFonts w:ascii="Arial" w:hAnsi="Arial" w:cs="Arial"/>
        </w:rPr>
        <w:t xml:space="preserve"> is that the Chief Justice’s view prevails.</w:t>
      </w:r>
      <w:r w:rsidR="004E5B8B">
        <w:rPr>
          <w:rFonts w:ascii="Arial" w:hAnsi="Arial" w:cs="Arial"/>
        </w:rPr>
        <w:t xml:space="preserve"> </w:t>
      </w:r>
      <w:r w:rsidRPr="00F61F1B">
        <w:rPr>
          <w:rFonts w:ascii="Arial" w:hAnsi="Arial" w:cs="Arial"/>
        </w:rPr>
        <w:t xml:space="preserve">But in the </w:t>
      </w:r>
      <w:r w:rsidR="00A9094B" w:rsidRPr="00F61F1B">
        <w:rPr>
          <w:rFonts w:ascii="Arial" w:hAnsi="Arial" w:cs="Arial"/>
        </w:rPr>
        <w:t xml:space="preserve">United States </w:t>
      </w:r>
      <w:r w:rsidRPr="00F61F1B">
        <w:rPr>
          <w:rFonts w:ascii="Arial" w:hAnsi="Arial" w:cs="Arial"/>
        </w:rPr>
        <w:t>Supreme Court such cases n</w:t>
      </w:r>
      <w:r w:rsidR="00FA6CB5" w:rsidRPr="00F61F1B">
        <w:rPr>
          <w:rFonts w:ascii="Arial" w:hAnsi="Arial" w:cs="Arial"/>
        </w:rPr>
        <w:t>o long</w:t>
      </w:r>
      <w:r w:rsidRPr="00F61F1B">
        <w:rPr>
          <w:rFonts w:ascii="Arial" w:hAnsi="Arial" w:cs="Arial"/>
        </w:rPr>
        <w:t>er arise</w:t>
      </w:r>
      <w:r w:rsidR="00A9094B" w:rsidRPr="00F61F1B">
        <w:rPr>
          <w:rFonts w:ascii="Arial" w:hAnsi="Arial" w:cs="Arial"/>
        </w:rPr>
        <w:t>, since m</w:t>
      </w:r>
      <w:r w:rsidRPr="00F61F1B">
        <w:rPr>
          <w:rFonts w:ascii="Arial" w:hAnsi="Arial" w:cs="Arial"/>
        </w:rPr>
        <w:t>ost of that Court’s original jurisdiction is now obsolete.</w:t>
      </w:r>
      <w:r w:rsidR="004E5B8B">
        <w:rPr>
          <w:rFonts w:ascii="Arial" w:hAnsi="Arial" w:cs="Arial"/>
        </w:rPr>
        <w:t xml:space="preserve"> </w:t>
      </w:r>
      <w:r w:rsidRPr="00F61F1B">
        <w:rPr>
          <w:rFonts w:ascii="Arial" w:hAnsi="Arial" w:cs="Arial"/>
        </w:rPr>
        <w:t xml:space="preserve">The main surviving cases are those </w:t>
      </w:r>
      <w:r w:rsidR="00AD6605" w:rsidRPr="00F61F1B">
        <w:rPr>
          <w:rFonts w:ascii="Arial" w:hAnsi="Arial" w:cs="Arial"/>
        </w:rPr>
        <w:t>involving disputes between States</w:t>
      </w:r>
      <w:r w:rsidR="00A9094B" w:rsidRPr="00F61F1B">
        <w:rPr>
          <w:rFonts w:ascii="Arial" w:hAnsi="Arial" w:cs="Arial"/>
        </w:rPr>
        <w:t>.</w:t>
      </w:r>
      <w:r w:rsidR="004E5B8B">
        <w:rPr>
          <w:rFonts w:ascii="Arial" w:hAnsi="Arial" w:cs="Arial"/>
        </w:rPr>
        <w:t xml:space="preserve"> </w:t>
      </w:r>
      <w:r w:rsidR="00A9094B" w:rsidRPr="00F61F1B">
        <w:rPr>
          <w:rFonts w:ascii="Arial" w:hAnsi="Arial" w:cs="Arial"/>
        </w:rPr>
        <w:t>I</w:t>
      </w:r>
      <w:r w:rsidR="00AD6605" w:rsidRPr="00F61F1B">
        <w:rPr>
          <w:rFonts w:ascii="Arial" w:hAnsi="Arial" w:cs="Arial"/>
        </w:rPr>
        <w:t xml:space="preserve">n those cases the Court appoints a Master to decide the issue, and rubber-stamps his decision – but without </w:t>
      </w:r>
      <w:r w:rsidR="00291FFE" w:rsidRPr="00F61F1B">
        <w:rPr>
          <w:rFonts w:ascii="Arial" w:hAnsi="Arial" w:cs="Arial"/>
        </w:rPr>
        <w:t>any</w:t>
      </w:r>
      <w:r w:rsidR="00AD6605" w:rsidRPr="00F61F1B">
        <w:rPr>
          <w:rFonts w:ascii="Arial" w:hAnsi="Arial" w:cs="Arial"/>
        </w:rPr>
        <w:t xml:space="preserve"> judgment</w:t>
      </w:r>
      <w:r w:rsidR="00291FFE" w:rsidRPr="00F61F1B">
        <w:rPr>
          <w:rFonts w:ascii="Arial" w:hAnsi="Arial" w:cs="Arial"/>
        </w:rPr>
        <w:t xml:space="preserve"> of its own</w:t>
      </w:r>
      <w:r w:rsidR="00AD6605" w:rsidRPr="00F61F1B">
        <w:rPr>
          <w:rFonts w:ascii="Arial" w:hAnsi="Arial" w:cs="Arial"/>
        </w:rPr>
        <w:t>.</w:t>
      </w:r>
      <w:r w:rsidR="004E5B8B">
        <w:rPr>
          <w:rFonts w:ascii="Arial" w:hAnsi="Arial" w:cs="Arial"/>
        </w:rPr>
        <w:t xml:space="preserve"> </w:t>
      </w:r>
      <w:r w:rsidR="00AD6605" w:rsidRPr="00F61F1B">
        <w:rPr>
          <w:rFonts w:ascii="Arial" w:hAnsi="Arial" w:cs="Arial"/>
        </w:rPr>
        <w:t xml:space="preserve">The </w:t>
      </w:r>
      <w:r w:rsidR="00722047" w:rsidRPr="00F61F1B">
        <w:rPr>
          <w:rFonts w:ascii="Arial" w:hAnsi="Arial" w:cs="Arial"/>
        </w:rPr>
        <w:t xml:space="preserve">decisions </w:t>
      </w:r>
      <w:r w:rsidR="00FA6CB5" w:rsidRPr="00F61F1B">
        <w:rPr>
          <w:rFonts w:ascii="Arial" w:hAnsi="Arial" w:cs="Arial"/>
        </w:rPr>
        <w:t>before Easter</w:t>
      </w:r>
      <w:r w:rsidR="00AD6605" w:rsidRPr="00F61F1B">
        <w:rPr>
          <w:rFonts w:ascii="Arial" w:hAnsi="Arial" w:cs="Arial"/>
        </w:rPr>
        <w:t xml:space="preserve"> even </w:t>
      </w:r>
      <w:r w:rsidR="00722047" w:rsidRPr="00F61F1B">
        <w:rPr>
          <w:rFonts w:ascii="Arial" w:hAnsi="Arial" w:cs="Arial"/>
        </w:rPr>
        <w:t>included a rare</w:t>
      </w:r>
      <w:r w:rsidR="00AD6605" w:rsidRPr="00F61F1B">
        <w:rPr>
          <w:rFonts w:ascii="Arial" w:hAnsi="Arial" w:cs="Arial"/>
        </w:rPr>
        <w:t xml:space="preserve"> example of that: on 21 March the Court announced that an action by Montana against Wyoming for interference with </w:t>
      </w:r>
      <w:r w:rsidR="00291FFE" w:rsidRPr="00F61F1B">
        <w:rPr>
          <w:rFonts w:ascii="Arial" w:hAnsi="Arial" w:cs="Arial"/>
        </w:rPr>
        <w:t xml:space="preserve">the flow of </w:t>
      </w:r>
      <w:r w:rsidR="00AD6605" w:rsidRPr="00F61F1B">
        <w:rPr>
          <w:rFonts w:ascii="Arial" w:hAnsi="Arial" w:cs="Arial"/>
        </w:rPr>
        <w:t>river water had failed in relation to all except two of fifteen alleged instances.</w:t>
      </w:r>
      <w:r w:rsidR="00CA48BC" w:rsidRPr="00F61F1B">
        <w:rPr>
          <w:rFonts w:ascii="Arial" w:hAnsi="Arial" w:cs="Arial"/>
          <w:color w:val="392B7D"/>
        </w:rPr>
        <w:t>[</w:t>
      </w:r>
      <w:r w:rsidR="00BB7460" w:rsidRPr="00F61F1B">
        <w:rPr>
          <w:rStyle w:val="EndnoteReference"/>
          <w:rFonts w:ascii="Arial" w:hAnsi="Arial" w:cs="Arial"/>
          <w:color w:val="392B7D"/>
          <w:vertAlign w:val="baseline"/>
        </w:rPr>
        <w:endnoteReference w:id="17"/>
      </w:r>
      <w:r w:rsidR="00CA48BC" w:rsidRPr="00F61F1B">
        <w:rPr>
          <w:rFonts w:ascii="Arial" w:hAnsi="Arial" w:cs="Arial"/>
          <w:color w:val="392B7D"/>
        </w:rPr>
        <w:t>]</w:t>
      </w:r>
    </w:p>
    <w:p w14:paraId="712E1132" w14:textId="77777777" w:rsidR="000B693F" w:rsidRPr="00F61F1B" w:rsidRDefault="000B693F" w:rsidP="00F61F1B">
      <w:pPr>
        <w:spacing w:after="0" w:line="300" w:lineRule="exact"/>
        <w:rPr>
          <w:rFonts w:ascii="Arial" w:hAnsi="Arial" w:cs="Arial"/>
        </w:rPr>
      </w:pPr>
    </w:p>
    <w:p w14:paraId="0F56A407" w14:textId="03B37A3C" w:rsidR="00A9094B" w:rsidRPr="00F61F1B" w:rsidRDefault="00D34A21" w:rsidP="00F61F1B">
      <w:pPr>
        <w:spacing w:after="0" w:line="300" w:lineRule="exact"/>
        <w:rPr>
          <w:rFonts w:ascii="Arial" w:hAnsi="Arial" w:cs="Arial"/>
        </w:rPr>
      </w:pPr>
      <w:r w:rsidRPr="00F61F1B">
        <w:rPr>
          <w:rFonts w:ascii="Arial" w:hAnsi="Arial" w:cs="Arial"/>
        </w:rPr>
        <w:lastRenderedPageBreak/>
        <w:t>In another case, the Court was una</w:t>
      </w:r>
      <w:r w:rsidR="00777824" w:rsidRPr="00F61F1B">
        <w:rPr>
          <w:rFonts w:ascii="Arial" w:hAnsi="Arial" w:cs="Arial"/>
        </w:rPr>
        <w:t>n</w:t>
      </w:r>
      <w:r w:rsidR="00AD6605" w:rsidRPr="00F61F1B">
        <w:rPr>
          <w:rFonts w:ascii="Arial" w:hAnsi="Arial" w:cs="Arial"/>
        </w:rPr>
        <w:t xml:space="preserve">imous </w:t>
      </w:r>
      <w:r w:rsidRPr="00F61F1B">
        <w:rPr>
          <w:rFonts w:ascii="Arial" w:hAnsi="Arial" w:cs="Arial"/>
        </w:rPr>
        <w:t>–</w:t>
      </w:r>
      <w:r w:rsidR="00BF2994" w:rsidRPr="00F61F1B">
        <w:rPr>
          <w:rFonts w:ascii="Arial" w:hAnsi="Arial" w:cs="Arial"/>
        </w:rPr>
        <w:t xml:space="preserve"> </w:t>
      </w:r>
      <w:r w:rsidRPr="00F61F1B">
        <w:rPr>
          <w:rFonts w:ascii="Arial" w:hAnsi="Arial" w:cs="Arial"/>
        </w:rPr>
        <w:t xml:space="preserve">to such an extent that </w:t>
      </w:r>
      <w:r w:rsidR="00777824" w:rsidRPr="00F61F1B">
        <w:rPr>
          <w:rFonts w:ascii="Arial" w:hAnsi="Arial" w:cs="Arial"/>
        </w:rPr>
        <w:t xml:space="preserve">it </w:t>
      </w:r>
      <w:r w:rsidR="00A9094B" w:rsidRPr="00F61F1B">
        <w:rPr>
          <w:rFonts w:ascii="Arial" w:hAnsi="Arial" w:cs="Arial"/>
        </w:rPr>
        <w:t>felt able</w:t>
      </w:r>
      <w:r w:rsidR="00777824" w:rsidRPr="00F61F1B">
        <w:rPr>
          <w:rFonts w:ascii="Arial" w:hAnsi="Arial" w:cs="Arial"/>
        </w:rPr>
        <w:t xml:space="preserve"> to</w:t>
      </w:r>
      <w:r w:rsidRPr="00F61F1B">
        <w:rPr>
          <w:rFonts w:ascii="Arial" w:hAnsi="Arial" w:cs="Arial"/>
        </w:rPr>
        <w:t xml:space="preserve"> </w:t>
      </w:r>
      <w:r w:rsidR="00A9094B" w:rsidRPr="00F61F1B">
        <w:rPr>
          <w:rFonts w:ascii="Arial" w:hAnsi="Arial" w:cs="Arial"/>
        </w:rPr>
        <w:t>allow the appeal without waiting</w:t>
      </w:r>
      <w:r w:rsidRPr="00F61F1B">
        <w:rPr>
          <w:rFonts w:ascii="Arial" w:hAnsi="Arial" w:cs="Arial"/>
        </w:rPr>
        <w:t xml:space="preserve"> for oral argument.</w:t>
      </w:r>
      <w:r w:rsidR="004E5B8B">
        <w:rPr>
          <w:rFonts w:ascii="Arial" w:hAnsi="Arial" w:cs="Arial"/>
        </w:rPr>
        <w:t xml:space="preserve"> </w:t>
      </w:r>
      <w:r w:rsidR="00777824" w:rsidRPr="00F61F1B">
        <w:rPr>
          <w:rFonts w:ascii="Arial" w:hAnsi="Arial" w:cs="Arial"/>
        </w:rPr>
        <w:t>A</w:t>
      </w:r>
      <w:r w:rsidR="00B92F1E" w:rsidRPr="00F61F1B">
        <w:rPr>
          <w:rFonts w:ascii="Arial" w:hAnsi="Arial" w:cs="Arial"/>
        </w:rPr>
        <w:t xml:space="preserve"> Massachusetts statute prohibiting the possession of stun guns</w:t>
      </w:r>
      <w:r w:rsidR="00777824" w:rsidRPr="00F61F1B">
        <w:rPr>
          <w:rFonts w:ascii="Arial" w:hAnsi="Arial" w:cs="Arial"/>
        </w:rPr>
        <w:t xml:space="preserve"> was struck down</w:t>
      </w:r>
      <w:r w:rsidR="00B92F1E" w:rsidRPr="00F61F1B">
        <w:rPr>
          <w:rFonts w:ascii="Arial" w:hAnsi="Arial" w:cs="Arial"/>
        </w:rPr>
        <w:t xml:space="preserve"> as violating the Second Amendment guarantee of the right to bear arms.</w:t>
      </w:r>
      <w:r w:rsidR="004E5B8B">
        <w:rPr>
          <w:rFonts w:ascii="Arial" w:hAnsi="Arial" w:cs="Arial"/>
        </w:rPr>
        <w:t xml:space="preserve"> </w:t>
      </w:r>
      <w:r w:rsidR="00B92F1E" w:rsidRPr="00F61F1B">
        <w:rPr>
          <w:rFonts w:ascii="Arial" w:hAnsi="Arial" w:cs="Arial"/>
        </w:rPr>
        <w:t>A Massachusetts</w:t>
      </w:r>
      <w:r w:rsidR="00777824" w:rsidRPr="00F61F1B">
        <w:rPr>
          <w:rFonts w:ascii="Arial" w:hAnsi="Arial" w:cs="Arial"/>
        </w:rPr>
        <w:t xml:space="preserve"> court</w:t>
      </w:r>
      <w:r w:rsidR="00B92F1E" w:rsidRPr="00F61F1B">
        <w:rPr>
          <w:rFonts w:ascii="Arial" w:hAnsi="Arial" w:cs="Arial"/>
        </w:rPr>
        <w:t xml:space="preserve"> had </w:t>
      </w:r>
      <w:r w:rsidR="00594A8D">
        <w:rPr>
          <w:rFonts w:ascii="Arial" w:hAnsi="Arial" w:cs="Arial"/>
        </w:rPr>
        <w:t>decided</w:t>
      </w:r>
      <w:r w:rsidR="00594A8D" w:rsidRPr="00F61F1B">
        <w:rPr>
          <w:rFonts w:ascii="Arial" w:hAnsi="Arial" w:cs="Arial"/>
        </w:rPr>
        <w:t xml:space="preserve"> </w:t>
      </w:r>
      <w:r w:rsidR="00B92F1E" w:rsidRPr="00F61F1B">
        <w:rPr>
          <w:rFonts w:ascii="Arial" w:hAnsi="Arial" w:cs="Arial"/>
        </w:rPr>
        <w:t xml:space="preserve">that the law was valid because stun guns were not in common use </w:t>
      </w:r>
      <w:r w:rsidR="00A9094B" w:rsidRPr="00F61F1B">
        <w:rPr>
          <w:rFonts w:ascii="Arial" w:hAnsi="Arial" w:cs="Arial"/>
        </w:rPr>
        <w:t xml:space="preserve">in 1789 </w:t>
      </w:r>
      <w:r w:rsidR="00B92F1E" w:rsidRPr="00F61F1B">
        <w:rPr>
          <w:rFonts w:ascii="Arial" w:hAnsi="Arial" w:cs="Arial"/>
        </w:rPr>
        <w:t xml:space="preserve">when the Second Amendment was adopted; that the Second Amendment does not extend to “dangerous and unusual weapons”; and that stun guns </w:t>
      </w:r>
      <w:r w:rsidR="00722047" w:rsidRPr="00F61F1B">
        <w:rPr>
          <w:rFonts w:ascii="Arial" w:hAnsi="Arial" w:cs="Arial"/>
        </w:rPr>
        <w:t>do not seem</w:t>
      </w:r>
      <w:r w:rsidR="00B92F1E" w:rsidRPr="00F61F1B">
        <w:rPr>
          <w:rFonts w:ascii="Arial" w:hAnsi="Arial" w:cs="Arial"/>
        </w:rPr>
        <w:t xml:space="preserve"> “readily adaptable” to military use.</w:t>
      </w:r>
      <w:r w:rsidR="004E5B8B">
        <w:rPr>
          <w:rFonts w:ascii="Arial" w:hAnsi="Arial" w:cs="Arial"/>
        </w:rPr>
        <w:t xml:space="preserve"> </w:t>
      </w:r>
      <w:r w:rsidR="00291FFE" w:rsidRPr="00F61F1B">
        <w:rPr>
          <w:rFonts w:ascii="Arial" w:hAnsi="Arial" w:cs="Arial"/>
        </w:rPr>
        <w:t>T</w:t>
      </w:r>
      <w:r w:rsidR="00B92F1E" w:rsidRPr="00F61F1B">
        <w:rPr>
          <w:rFonts w:ascii="Arial" w:hAnsi="Arial" w:cs="Arial"/>
        </w:rPr>
        <w:t>he Supreme Court rejected all these arguments.</w:t>
      </w:r>
    </w:p>
    <w:p w14:paraId="09DF5393" w14:textId="77777777" w:rsidR="00A9094B" w:rsidRPr="00F61F1B" w:rsidRDefault="00A9094B" w:rsidP="00F61F1B">
      <w:pPr>
        <w:spacing w:after="0" w:line="300" w:lineRule="exact"/>
        <w:rPr>
          <w:rFonts w:ascii="Arial" w:hAnsi="Arial" w:cs="Arial"/>
        </w:rPr>
      </w:pPr>
    </w:p>
    <w:p w14:paraId="5795D643" w14:textId="77777777" w:rsidR="00A9094B" w:rsidRPr="00F61F1B" w:rsidRDefault="00B92F1E" w:rsidP="00F61F1B">
      <w:pPr>
        <w:spacing w:after="0" w:line="300" w:lineRule="exact"/>
        <w:rPr>
          <w:rFonts w:ascii="Arial" w:hAnsi="Arial" w:cs="Arial"/>
        </w:rPr>
      </w:pPr>
      <w:r w:rsidRPr="00F61F1B">
        <w:rPr>
          <w:rFonts w:ascii="Arial" w:hAnsi="Arial" w:cs="Arial"/>
        </w:rPr>
        <w:t xml:space="preserve">Again there was no extended judgment: the unanimous result was announced in a brief one-page “per </w:t>
      </w:r>
      <w:proofErr w:type="spellStart"/>
      <w:r w:rsidRPr="00F61F1B">
        <w:rPr>
          <w:rFonts w:ascii="Arial" w:hAnsi="Arial" w:cs="Arial"/>
        </w:rPr>
        <w:t>curiam</w:t>
      </w:r>
      <w:proofErr w:type="spellEnd"/>
      <w:r w:rsidRPr="00F61F1B">
        <w:rPr>
          <w:rFonts w:ascii="Arial" w:hAnsi="Arial" w:cs="Arial"/>
        </w:rPr>
        <w:t>” opinion</w:t>
      </w:r>
      <w:r w:rsidR="00557385" w:rsidRPr="00F61F1B">
        <w:rPr>
          <w:rFonts w:ascii="Arial" w:hAnsi="Arial" w:cs="Arial"/>
        </w:rPr>
        <w:t xml:space="preserve"> –</w:t>
      </w:r>
      <w:r w:rsidR="00A14596" w:rsidRPr="00F61F1B">
        <w:rPr>
          <w:rFonts w:ascii="Arial" w:hAnsi="Arial" w:cs="Arial"/>
        </w:rPr>
        <w:t xml:space="preserve"> though Justices Thomas and Alito, now the Court’s most conservative members, thought it necessary to express their agreement with the result in a separate concurring opinion</w:t>
      </w:r>
      <w:r w:rsidR="00777824" w:rsidRPr="00F61F1B">
        <w:rPr>
          <w:rFonts w:ascii="Arial" w:hAnsi="Arial" w:cs="Arial"/>
        </w:rPr>
        <w:t>,</w:t>
      </w:r>
      <w:r w:rsidR="00B53399" w:rsidRPr="00F61F1B">
        <w:rPr>
          <w:rFonts w:ascii="Arial" w:hAnsi="Arial" w:cs="Arial"/>
        </w:rPr>
        <w:t xml:space="preserve"> protest</w:t>
      </w:r>
      <w:r w:rsidR="00777824" w:rsidRPr="00F61F1B">
        <w:rPr>
          <w:rFonts w:ascii="Arial" w:hAnsi="Arial" w:cs="Arial"/>
        </w:rPr>
        <w:t>ing</w:t>
      </w:r>
      <w:r w:rsidR="00557385" w:rsidRPr="00F61F1B">
        <w:rPr>
          <w:rFonts w:ascii="Arial" w:hAnsi="Arial" w:cs="Arial"/>
        </w:rPr>
        <w:t xml:space="preserve"> that the contrary view “does a grave disservice … to vulnerable individuals … who must defend themselves because the State will not”</w:t>
      </w:r>
      <w:r w:rsidR="00777824" w:rsidRPr="00F61F1B">
        <w:rPr>
          <w:rFonts w:ascii="Arial" w:hAnsi="Arial" w:cs="Arial"/>
        </w:rPr>
        <w:t>.</w:t>
      </w:r>
    </w:p>
    <w:p w14:paraId="2A49BA75" w14:textId="77777777" w:rsidR="00AB0E87" w:rsidRPr="00F61F1B" w:rsidRDefault="00AB0E87" w:rsidP="00F61F1B">
      <w:pPr>
        <w:spacing w:after="0" w:line="300" w:lineRule="exact"/>
        <w:rPr>
          <w:rFonts w:ascii="Arial" w:hAnsi="Arial" w:cs="Arial"/>
        </w:rPr>
      </w:pPr>
    </w:p>
    <w:p w14:paraId="6982E67B" w14:textId="432F48A0" w:rsidR="00B53399" w:rsidRPr="00F61F1B" w:rsidRDefault="00777824" w:rsidP="00F61F1B">
      <w:pPr>
        <w:spacing w:after="0" w:line="300" w:lineRule="exact"/>
        <w:rPr>
          <w:rFonts w:ascii="Arial" w:hAnsi="Arial" w:cs="Arial"/>
        </w:rPr>
      </w:pPr>
      <w:r w:rsidRPr="00F61F1B">
        <w:rPr>
          <w:rFonts w:ascii="Arial" w:hAnsi="Arial" w:cs="Arial"/>
        </w:rPr>
        <w:t>Presumably</w:t>
      </w:r>
      <w:r w:rsidR="00A9094B" w:rsidRPr="00F61F1B">
        <w:rPr>
          <w:rFonts w:ascii="Arial" w:hAnsi="Arial" w:cs="Arial"/>
        </w:rPr>
        <w:t>, despite his usual insistence on interpretive “</w:t>
      </w:r>
      <w:proofErr w:type="spellStart"/>
      <w:r w:rsidR="00A9094B" w:rsidRPr="00F61F1B">
        <w:rPr>
          <w:rFonts w:ascii="Arial" w:hAnsi="Arial" w:cs="Arial"/>
        </w:rPr>
        <w:t>originalism</w:t>
      </w:r>
      <w:proofErr w:type="spellEnd"/>
      <w:r w:rsidR="00A9094B" w:rsidRPr="00F61F1B">
        <w:rPr>
          <w:rFonts w:ascii="Arial" w:hAnsi="Arial" w:cs="Arial"/>
        </w:rPr>
        <w:t>”,</w:t>
      </w:r>
      <w:r w:rsidRPr="00F61F1B">
        <w:rPr>
          <w:rFonts w:ascii="Arial" w:hAnsi="Arial" w:cs="Arial"/>
        </w:rPr>
        <w:t xml:space="preserve"> Scalia would have joined them.</w:t>
      </w:r>
      <w:r w:rsidR="004E5B8B">
        <w:rPr>
          <w:rFonts w:ascii="Arial" w:hAnsi="Arial" w:cs="Arial"/>
        </w:rPr>
        <w:t xml:space="preserve"> </w:t>
      </w:r>
      <w:r w:rsidRPr="00F61F1B">
        <w:rPr>
          <w:rFonts w:ascii="Arial" w:hAnsi="Arial" w:cs="Arial"/>
        </w:rPr>
        <w:t xml:space="preserve">As it was, his shadow lay heavily over the case: </w:t>
      </w:r>
      <w:r w:rsidR="007F5F76" w:rsidRPr="00F61F1B">
        <w:rPr>
          <w:rFonts w:ascii="Arial" w:hAnsi="Arial" w:cs="Arial"/>
        </w:rPr>
        <w:t>a</w:t>
      </w:r>
      <w:r w:rsidRPr="00F61F1B">
        <w:rPr>
          <w:rFonts w:ascii="Arial" w:hAnsi="Arial" w:cs="Arial"/>
        </w:rPr>
        <w:t>s both the opinion</w:t>
      </w:r>
      <w:r w:rsidR="00A9094B" w:rsidRPr="00F61F1B">
        <w:rPr>
          <w:rFonts w:ascii="Arial" w:hAnsi="Arial" w:cs="Arial"/>
        </w:rPr>
        <w:t>s</w:t>
      </w:r>
      <w:r w:rsidRPr="00F61F1B">
        <w:rPr>
          <w:rFonts w:ascii="Arial" w:hAnsi="Arial" w:cs="Arial"/>
        </w:rPr>
        <w:t xml:space="preserve"> </w:t>
      </w:r>
      <w:r w:rsidR="00A9094B" w:rsidRPr="00F61F1B">
        <w:rPr>
          <w:rFonts w:ascii="Arial" w:hAnsi="Arial" w:cs="Arial"/>
        </w:rPr>
        <w:t>delivered on 21 March</w:t>
      </w:r>
      <w:r w:rsidRPr="00F61F1B">
        <w:rPr>
          <w:rFonts w:ascii="Arial" w:hAnsi="Arial" w:cs="Arial"/>
        </w:rPr>
        <w:t xml:space="preserve"> reminded us,</w:t>
      </w:r>
      <w:r w:rsidR="00B53399" w:rsidRPr="00F61F1B">
        <w:rPr>
          <w:rFonts w:ascii="Arial" w:hAnsi="Arial" w:cs="Arial"/>
        </w:rPr>
        <w:t xml:space="preserve"> Scalia himself, when writing the Opinion of the Court in </w:t>
      </w:r>
      <w:r w:rsidR="00B53399" w:rsidRPr="00F61F1B">
        <w:rPr>
          <w:rFonts w:ascii="Arial" w:hAnsi="Arial" w:cs="Arial"/>
          <w:i/>
        </w:rPr>
        <w:t>District of Columbia v Heller</w:t>
      </w:r>
      <w:r w:rsidR="00B53399" w:rsidRPr="00F61F1B">
        <w:rPr>
          <w:rFonts w:ascii="Arial" w:hAnsi="Arial" w:cs="Arial"/>
        </w:rPr>
        <w:t>,</w:t>
      </w:r>
      <w:r w:rsidR="00AB0E87" w:rsidRPr="00F61F1B">
        <w:rPr>
          <w:rFonts w:ascii="Arial" w:hAnsi="Arial" w:cs="Arial"/>
          <w:color w:val="392B7D"/>
        </w:rPr>
        <w:t>[</w:t>
      </w:r>
      <w:r w:rsidR="00A9094B" w:rsidRPr="00F61F1B">
        <w:rPr>
          <w:rStyle w:val="EndnoteReference"/>
          <w:rFonts w:ascii="Arial" w:hAnsi="Arial" w:cs="Arial"/>
          <w:color w:val="392B7D"/>
          <w:vertAlign w:val="baseline"/>
        </w:rPr>
        <w:endnoteReference w:id="18"/>
      </w:r>
      <w:r w:rsidR="00AB0E87" w:rsidRPr="00F61F1B">
        <w:rPr>
          <w:rFonts w:ascii="Arial" w:hAnsi="Arial" w:cs="Arial"/>
          <w:color w:val="392B7D"/>
        </w:rPr>
        <w:t>]</w:t>
      </w:r>
      <w:r w:rsidR="00B53399" w:rsidRPr="00F61F1B">
        <w:rPr>
          <w:rFonts w:ascii="Arial" w:hAnsi="Arial" w:cs="Arial"/>
        </w:rPr>
        <w:t xml:space="preserve"> had emphatically </w:t>
      </w:r>
      <w:r w:rsidR="00D34A21" w:rsidRPr="00F61F1B">
        <w:rPr>
          <w:rFonts w:ascii="Arial" w:hAnsi="Arial" w:cs="Arial"/>
        </w:rPr>
        <w:t>rejected the use of “</w:t>
      </w:r>
      <w:proofErr w:type="spellStart"/>
      <w:r w:rsidR="00D34A21" w:rsidRPr="00F61F1B">
        <w:rPr>
          <w:rFonts w:ascii="Arial" w:hAnsi="Arial" w:cs="Arial"/>
        </w:rPr>
        <w:t>or</w:t>
      </w:r>
      <w:r w:rsidR="00B53399" w:rsidRPr="00F61F1B">
        <w:rPr>
          <w:rFonts w:ascii="Arial" w:hAnsi="Arial" w:cs="Arial"/>
        </w:rPr>
        <w:t>iginalism</w:t>
      </w:r>
      <w:proofErr w:type="spellEnd"/>
      <w:r w:rsidR="00B53399" w:rsidRPr="00F61F1B">
        <w:rPr>
          <w:rFonts w:ascii="Arial" w:hAnsi="Arial" w:cs="Arial"/>
        </w:rPr>
        <w:t>” to restrict the scope of the Second Amendment</w:t>
      </w:r>
      <w:r w:rsidR="00D34A21" w:rsidRPr="00F61F1B">
        <w:rPr>
          <w:rFonts w:ascii="Arial" w:hAnsi="Arial" w:cs="Arial"/>
        </w:rPr>
        <w:t>.</w:t>
      </w:r>
      <w:r w:rsidR="004E5B8B">
        <w:rPr>
          <w:rFonts w:ascii="Arial" w:hAnsi="Arial" w:cs="Arial"/>
        </w:rPr>
        <w:t xml:space="preserve"> </w:t>
      </w:r>
      <w:r w:rsidR="00D34A21" w:rsidRPr="00F61F1B">
        <w:rPr>
          <w:rFonts w:ascii="Arial" w:hAnsi="Arial" w:cs="Arial"/>
        </w:rPr>
        <w:t>As Scalia had put it in that earlier case:</w:t>
      </w:r>
    </w:p>
    <w:p w14:paraId="5DD0DD90" w14:textId="77777777" w:rsidR="00D34A21" w:rsidRPr="00F61F1B" w:rsidRDefault="00D34A21" w:rsidP="00F61F1B">
      <w:pPr>
        <w:spacing w:after="0" w:line="300" w:lineRule="exact"/>
        <w:rPr>
          <w:rFonts w:ascii="Arial" w:hAnsi="Arial" w:cs="Arial"/>
        </w:rPr>
      </w:pPr>
    </w:p>
    <w:p w14:paraId="30D0D832" w14:textId="3A21E41D" w:rsidR="00B53399" w:rsidRPr="00F61F1B" w:rsidRDefault="00B53399" w:rsidP="00F61F1B">
      <w:pPr>
        <w:spacing w:after="0" w:line="300" w:lineRule="exact"/>
        <w:ind w:left="357"/>
        <w:rPr>
          <w:rFonts w:ascii="Arial" w:hAnsi="Arial" w:cs="Arial"/>
        </w:rPr>
      </w:pPr>
      <w:r w:rsidRPr="00F61F1B">
        <w:rPr>
          <w:rFonts w:ascii="Arial" w:hAnsi="Arial" w:cs="Arial"/>
        </w:rPr>
        <w:t>Some have made the argument, bordering on the frivolous, that only those arms in existence in the 18th century are pr</w:t>
      </w:r>
      <w:r w:rsidR="007F5F76" w:rsidRPr="00F61F1B">
        <w:rPr>
          <w:rFonts w:ascii="Arial" w:hAnsi="Arial" w:cs="Arial"/>
        </w:rPr>
        <w:t>otected by the Second Amendment</w:t>
      </w:r>
      <w:r w:rsidRPr="00F61F1B">
        <w:rPr>
          <w:rFonts w:ascii="Arial" w:hAnsi="Arial" w:cs="Arial"/>
        </w:rPr>
        <w:t>.</w:t>
      </w:r>
      <w:r w:rsidR="004E5B8B">
        <w:rPr>
          <w:rFonts w:ascii="Arial" w:hAnsi="Arial" w:cs="Arial"/>
        </w:rPr>
        <w:t xml:space="preserve"> </w:t>
      </w:r>
      <w:r w:rsidRPr="00F61F1B">
        <w:rPr>
          <w:rFonts w:ascii="Arial" w:hAnsi="Arial" w:cs="Arial"/>
        </w:rPr>
        <w:t>We do not interpret constitutional rights that way.</w:t>
      </w:r>
      <w:r w:rsidR="004E5B8B">
        <w:rPr>
          <w:rFonts w:ascii="Arial" w:hAnsi="Arial" w:cs="Arial"/>
        </w:rPr>
        <w:t xml:space="preserve"> </w:t>
      </w:r>
      <w:r w:rsidRPr="00F61F1B">
        <w:rPr>
          <w:rFonts w:ascii="Arial" w:hAnsi="Arial" w:cs="Arial"/>
        </w:rPr>
        <w:t xml:space="preserve">Just as the First Amendment protects modern forms of </w:t>
      </w:r>
      <w:proofErr w:type="gramStart"/>
      <w:r w:rsidRPr="00F61F1B">
        <w:rPr>
          <w:rFonts w:ascii="Arial" w:hAnsi="Arial" w:cs="Arial"/>
        </w:rPr>
        <w:t>communications … ,</w:t>
      </w:r>
      <w:proofErr w:type="gramEnd"/>
      <w:r w:rsidRPr="00F61F1B">
        <w:rPr>
          <w:rFonts w:ascii="Arial" w:hAnsi="Arial" w:cs="Arial"/>
        </w:rPr>
        <w:t xml:space="preserve"> the Second Amendment extends, prima facie, to all instruments that constitute bearable arms, even those that were not in existence at the time of the founding.</w:t>
      </w:r>
    </w:p>
    <w:p w14:paraId="5702CBCE" w14:textId="77777777" w:rsidR="000B693F" w:rsidRPr="00F61F1B" w:rsidRDefault="000B693F" w:rsidP="00F61F1B">
      <w:pPr>
        <w:spacing w:after="0" w:line="300" w:lineRule="exact"/>
        <w:rPr>
          <w:rFonts w:ascii="Arial" w:hAnsi="Arial" w:cs="Arial"/>
        </w:rPr>
      </w:pPr>
    </w:p>
    <w:p w14:paraId="21518F48" w14:textId="5E0F551F" w:rsidR="00AB0E87" w:rsidRPr="00F61F1B" w:rsidRDefault="00B92F1E" w:rsidP="00F61F1B">
      <w:pPr>
        <w:spacing w:after="0" w:line="300" w:lineRule="exact"/>
        <w:rPr>
          <w:rFonts w:ascii="Arial" w:hAnsi="Arial" w:cs="Arial"/>
        </w:rPr>
      </w:pPr>
      <w:r w:rsidRPr="00F61F1B">
        <w:rPr>
          <w:rFonts w:ascii="Arial" w:hAnsi="Arial" w:cs="Arial"/>
        </w:rPr>
        <w:t>Unanimity went the other way in a case</w:t>
      </w:r>
      <w:r w:rsidR="00722047" w:rsidRPr="00F61F1B">
        <w:rPr>
          <w:rFonts w:ascii="Arial" w:hAnsi="Arial" w:cs="Arial"/>
        </w:rPr>
        <w:t xml:space="preserve"> decided on 22 March,</w:t>
      </w:r>
      <w:r w:rsidRPr="00F61F1B">
        <w:rPr>
          <w:rFonts w:ascii="Arial" w:hAnsi="Arial" w:cs="Arial"/>
        </w:rPr>
        <w:t xml:space="preserve"> involving the Omaha Reservation in the State of Nebraska.</w:t>
      </w:r>
      <w:r w:rsidR="00AB0E87" w:rsidRPr="00F61F1B">
        <w:rPr>
          <w:rFonts w:ascii="Arial" w:hAnsi="Arial" w:cs="Arial"/>
          <w:color w:val="392B7D"/>
        </w:rPr>
        <w:t>[</w:t>
      </w:r>
      <w:r w:rsidR="00AB0E87" w:rsidRPr="00F61F1B">
        <w:rPr>
          <w:rStyle w:val="EndnoteReference"/>
          <w:rFonts w:ascii="Arial" w:hAnsi="Arial" w:cs="Arial"/>
          <w:color w:val="392B7D"/>
          <w:vertAlign w:val="baseline"/>
        </w:rPr>
        <w:endnoteReference w:id="19"/>
      </w:r>
      <w:r w:rsidR="00AB0E87" w:rsidRPr="00F61F1B">
        <w:rPr>
          <w:rFonts w:ascii="Arial" w:hAnsi="Arial" w:cs="Arial"/>
          <w:color w:val="392B7D"/>
        </w:rPr>
        <w:t>]</w:t>
      </w:r>
      <w:r w:rsidR="004E5B8B">
        <w:rPr>
          <w:rFonts w:ascii="Arial" w:hAnsi="Arial" w:cs="Arial"/>
        </w:rPr>
        <w:t xml:space="preserve"> </w:t>
      </w:r>
      <w:r w:rsidRPr="00F61F1B">
        <w:rPr>
          <w:rFonts w:ascii="Arial" w:hAnsi="Arial" w:cs="Arial"/>
        </w:rPr>
        <w:t xml:space="preserve">In the United States, as in New Zealand, the traditional willingness to recognise a form of indigenous sovereignty </w:t>
      </w:r>
      <w:r w:rsidR="00291FFE" w:rsidRPr="00F61F1B">
        <w:rPr>
          <w:rFonts w:ascii="Arial" w:hAnsi="Arial" w:cs="Arial"/>
        </w:rPr>
        <w:t xml:space="preserve">began as mere </w:t>
      </w:r>
      <w:r w:rsidRPr="00F61F1B">
        <w:rPr>
          <w:rFonts w:ascii="Arial" w:hAnsi="Arial" w:cs="Arial"/>
        </w:rPr>
        <w:t xml:space="preserve">tokenism, but over the last half-century has come to have </w:t>
      </w:r>
      <w:r w:rsidR="00722047" w:rsidRPr="00F61F1B">
        <w:rPr>
          <w:rFonts w:ascii="Arial" w:hAnsi="Arial" w:cs="Arial"/>
        </w:rPr>
        <w:t>practica</w:t>
      </w:r>
      <w:r w:rsidRPr="00F61F1B">
        <w:rPr>
          <w:rFonts w:ascii="Arial" w:hAnsi="Arial" w:cs="Arial"/>
        </w:rPr>
        <w:t>l significance.</w:t>
      </w:r>
      <w:r w:rsidR="004E5B8B">
        <w:rPr>
          <w:rFonts w:ascii="Arial" w:hAnsi="Arial" w:cs="Arial"/>
        </w:rPr>
        <w:t xml:space="preserve"> </w:t>
      </w:r>
      <w:r w:rsidR="0056005F" w:rsidRPr="00F61F1B">
        <w:rPr>
          <w:rFonts w:ascii="Arial" w:hAnsi="Arial" w:cs="Arial"/>
        </w:rPr>
        <w:t>In 1882 the United States Congress had authorised the Secretary of the Interior to sell off 50,000 acres of reservation land, and part of the land then sold to a private owner is now occupied by the village of Pender.</w:t>
      </w:r>
      <w:r w:rsidR="004E5B8B">
        <w:rPr>
          <w:rFonts w:ascii="Arial" w:hAnsi="Arial" w:cs="Arial"/>
        </w:rPr>
        <w:t xml:space="preserve"> </w:t>
      </w:r>
      <w:r w:rsidR="00722047" w:rsidRPr="00F61F1B">
        <w:rPr>
          <w:rFonts w:ascii="Arial" w:hAnsi="Arial" w:cs="Arial"/>
        </w:rPr>
        <w:t>In 2006 the Omaha Tribe adopted new restrictions on the sale of alcohol; retailers in the village of Pender</w:t>
      </w:r>
      <w:r w:rsidR="009C7806" w:rsidRPr="00F61F1B">
        <w:rPr>
          <w:rFonts w:ascii="Arial" w:hAnsi="Arial" w:cs="Arial"/>
        </w:rPr>
        <w:t xml:space="preserve"> denied that the restrictions could apply to them, since the village had not been part of the reservation since 1882.</w:t>
      </w:r>
    </w:p>
    <w:p w14:paraId="50F270C8" w14:textId="77777777" w:rsidR="00AB0E87" w:rsidRPr="00F61F1B" w:rsidRDefault="00AB0E87" w:rsidP="00F61F1B">
      <w:pPr>
        <w:spacing w:after="0" w:line="300" w:lineRule="exact"/>
        <w:rPr>
          <w:rFonts w:ascii="Arial" w:hAnsi="Arial" w:cs="Arial"/>
        </w:rPr>
      </w:pPr>
    </w:p>
    <w:p w14:paraId="7FDD8843" w14:textId="158F0AAF" w:rsidR="000B693F" w:rsidRPr="00F61F1B" w:rsidRDefault="009C7806" w:rsidP="00F61F1B">
      <w:pPr>
        <w:spacing w:after="0" w:line="300" w:lineRule="exact"/>
        <w:rPr>
          <w:rFonts w:ascii="Arial" w:hAnsi="Arial" w:cs="Arial"/>
        </w:rPr>
      </w:pPr>
      <w:r w:rsidRPr="00F61F1B">
        <w:rPr>
          <w:rFonts w:ascii="Arial" w:hAnsi="Arial" w:cs="Arial"/>
        </w:rPr>
        <w:t>The Supreme Court unanimously rejected the argument.</w:t>
      </w:r>
      <w:r w:rsidR="004E5B8B">
        <w:rPr>
          <w:rFonts w:ascii="Arial" w:hAnsi="Arial" w:cs="Arial"/>
        </w:rPr>
        <w:t xml:space="preserve"> </w:t>
      </w:r>
      <w:r w:rsidRPr="00F61F1B">
        <w:rPr>
          <w:rFonts w:ascii="Arial" w:hAnsi="Arial" w:cs="Arial"/>
        </w:rPr>
        <w:t>The 1882 legislation had “merely opened reservation land to settlement”; it would not be read as removing the affected land from the reservation in the absence of explicit language “evidencing the present and total surrender of all tribal interests”, or “an unconditional commitment from Congress” to compensate the tribe for the loss of its land.</w:t>
      </w:r>
    </w:p>
    <w:p w14:paraId="70C169D9" w14:textId="77777777" w:rsidR="000B693F" w:rsidRPr="00F61F1B" w:rsidRDefault="000B693F" w:rsidP="00F61F1B">
      <w:pPr>
        <w:spacing w:after="0" w:line="300" w:lineRule="exact"/>
        <w:rPr>
          <w:rFonts w:ascii="Arial" w:hAnsi="Arial" w:cs="Arial"/>
        </w:rPr>
      </w:pPr>
    </w:p>
    <w:p w14:paraId="47069F3F" w14:textId="78E024F4" w:rsidR="000B693F" w:rsidRPr="00F61F1B" w:rsidRDefault="000E13B6" w:rsidP="00F61F1B">
      <w:pPr>
        <w:spacing w:after="0" w:line="300" w:lineRule="exact"/>
        <w:rPr>
          <w:rFonts w:ascii="Arial" w:hAnsi="Arial" w:cs="Arial"/>
        </w:rPr>
      </w:pPr>
      <w:r w:rsidRPr="00F61F1B">
        <w:rPr>
          <w:rFonts w:ascii="Arial" w:hAnsi="Arial" w:cs="Arial"/>
        </w:rPr>
        <w:t>In another case, this time from Alaska</w:t>
      </w:r>
      <w:proofErr w:type="gramStart"/>
      <w:r w:rsidRPr="00F61F1B">
        <w:rPr>
          <w:rFonts w:ascii="Arial" w:hAnsi="Arial" w:cs="Arial"/>
        </w:rPr>
        <w:t>,</w:t>
      </w:r>
      <w:r w:rsidR="00A513A7" w:rsidRPr="00F61F1B">
        <w:rPr>
          <w:rFonts w:ascii="Arial" w:hAnsi="Arial" w:cs="Arial"/>
          <w:color w:val="392B7D"/>
        </w:rPr>
        <w:t>[</w:t>
      </w:r>
      <w:proofErr w:type="gramEnd"/>
      <w:r w:rsidR="00AB0E87" w:rsidRPr="00F61F1B">
        <w:rPr>
          <w:rStyle w:val="EndnoteReference"/>
          <w:rFonts w:ascii="Arial" w:hAnsi="Arial" w:cs="Arial"/>
          <w:color w:val="392B7D"/>
          <w:vertAlign w:val="baseline"/>
        </w:rPr>
        <w:endnoteReference w:id="20"/>
      </w:r>
      <w:r w:rsidR="00A513A7" w:rsidRPr="00F61F1B">
        <w:rPr>
          <w:rFonts w:ascii="Arial" w:hAnsi="Arial" w:cs="Arial"/>
          <w:color w:val="392B7D"/>
        </w:rPr>
        <w:t>]</w:t>
      </w:r>
      <w:r w:rsidRPr="00F61F1B">
        <w:rPr>
          <w:rFonts w:ascii="Arial" w:hAnsi="Arial" w:cs="Arial"/>
        </w:rPr>
        <w:t xml:space="preserve"> a different approach to interpretation of statutes again evoked unanimity.</w:t>
      </w:r>
      <w:r w:rsidR="004E5B8B">
        <w:rPr>
          <w:rFonts w:ascii="Arial" w:hAnsi="Arial" w:cs="Arial"/>
        </w:rPr>
        <w:t xml:space="preserve"> </w:t>
      </w:r>
      <w:r w:rsidRPr="00F61F1B">
        <w:rPr>
          <w:rFonts w:ascii="Arial" w:hAnsi="Arial" w:cs="Arial"/>
        </w:rPr>
        <w:t xml:space="preserve">Under federal regulations the use of hovercraft was prohibited in </w:t>
      </w:r>
      <w:r w:rsidRPr="00F61F1B">
        <w:rPr>
          <w:rFonts w:ascii="Arial" w:hAnsi="Arial" w:cs="Arial"/>
        </w:rPr>
        <w:lastRenderedPageBreak/>
        <w:t>national parks</w:t>
      </w:r>
      <w:r w:rsidR="0052216B" w:rsidRPr="00F61F1B">
        <w:rPr>
          <w:rFonts w:ascii="Arial" w:hAnsi="Arial" w:cs="Arial"/>
        </w:rPr>
        <w:t>; but according to statute law in Alaska the regulations were “applicable solely to public lands”.</w:t>
      </w:r>
      <w:r w:rsidR="004E5B8B">
        <w:rPr>
          <w:rFonts w:ascii="Arial" w:hAnsi="Arial" w:cs="Arial"/>
        </w:rPr>
        <w:t xml:space="preserve"> </w:t>
      </w:r>
      <w:r w:rsidR="0052216B" w:rsidRPr="00F61F1B">
        <w:rPr>
          <w:rFonts w:ascii="Arial" w:hAnsi="Arial" w:cs="Arial"/>
        </w:rPr>
        <w:t>It was clear that the regulations did apply in the Yukon-Charley Rivers National Preserve; but did they apply to a river flowing through the reserve?</w:t>
      </w:r>
      <w:r w:rsidR="004E5B8B">
        <w:rPr>
          <w:rFonts w:ascii="Arial" w:hAnsi="Arial" w:cs="Arial"/>
        </w:rPr>
        <w:t xml:space="preserve"> </w:t>
      </w:r>
      <w:r w:rsidR="0052216B" w:rsidRPr="00F61F1B">
        <w:rPr>
          <w:rFonts w:ascii="Arial" w:hAnsi="Arial" w:cs="Arial"/>
        </w:rPr>
        <w:t xml:space="preserve">If not, the appellant was free to </w:t>
      </w:r>
      <w:r w:rsidR="00DA5771" w:rsidRPr="00F61F1B">
        <w:rPr>
          <w:rFonts w:ascii="Arial" w:hAnsi="Arial" w:cs="Arial"/>
        </w:rPr>
        <w:t>pilot</w:t>
      </w:r>
      <w:r w:rsidR="0052216B" w:rsidRPr="00F61F1B">
        <w:rPr>
          <w:rFonts w:ascii="Arial" w:hAnsi="Arial" w:cs="Arial"/>
        </w:rPr>
        <w:t xml:space="preserve"> his hovercraft up the river while hunting moose.</w:t>
      </w:r>
    </w:p>
    <w:p w14:paraId="6417FFA3" w14:textId="77777777" w:rsidR="000B693F" w:rsidRPr="00F61F1B" w:rsidRDefault="000B693F" w:rsidP="00F61F1B">
      <w:pPr>
        <w:spacing w:after="0" w:line="300" w:lineRule="exact"/>
        <w:rPr>
          <w:rFonts w:ascii="Arial" w:hAnsi="Arial" w:cs="Arial"/>
        </w:rPr>
      </w:pPr>
    </w:p>
    <w:p w14:paraId="07B7028F" w14:textId="500E3F3D" w:rsidR="000B693F" w:rsidRPr="00F61F1B" w:rsidRDefault="0052216B" w:rsidP="00F61F1B">
      <w:pPr>
        <w:spacing w:after="0" w:line="300" w:lineRule="exact"/>
        <w:rPr>
          <w:rFonts w:ascii="Arial" w:hAnsi="Arial" w:cs="Arial"/>
          <w:color w:val="000000"/>
        </w:rPr>
      </w:pPr>
      <w:r w:rsidRPr="00F61F1B">
        <w:rPr>
          <w:rFonts w:ascii="Arial" w:hAnsi="Arial" w:cs="Arial"/>
        </w:rPr>
        <w:t>The statutory provisions were obscure and to some extent contradictory; but in the end the whole Court held that the hovercraft could be used on the river.</w:t>
      </w:r>
      <w:r w:rsidR="004E5B8B">
        <w:rPr>
          <w:rFonts w:ascii="Arial" w:hAnsi="Arial" w:cs="Arial"/>
        </w:rPr>
        <w:t xml:space="preserve"> </w:t>
      </w:r>
      <w:r w:rsidRPr="00F61F1B">
        <w:rPr>
          <w:rFonts w:ascii="Arial" w:hAnsi="Arial" w:cs="Arial"/>
        </w:rPr>
        <w:t>The Court invoked the “fundamental canon of statutory construction that the words of a statute must be read in their context”; and the relevantly decisive context here was simply that “Alaska is different”.</w:t>
      </w:r>
      <w:r w:rsidR="004E5B8B">
        <w:rPr>
          <w:rFonts w:ascii="Arial" w:hAnsi="Arial" w:cs="Arial"/>
        </w:rPr>
        <w:t xml:space="preserve"> </w:t>
      </w:r>
      <w:r w:rsidRPr="00F61F1B">
        <w:rPr>
          <w:rFonts w:ascii="Arial" w:hAnsi="Arial" w:cs="Arial"/>
        </w:rPr>
        <w:t>The needs of hunting, fishing and trapping, and for popular reliance on</w:t>
      </w:r>
      <w:r w:rsidR="00DA5771" w:rsidRPr="00F61F1B">
        <w:rPr>
          <w:rFonts w:ascii="Arial" w:hAnsi="Arial" w:cs="Arial"/>
        </w:rPr>
        <w:t xml:space="preserve"> “snowmobiles, motorboats and other means of surface transportation”</w:t>
      </w:r>
      <w:r w:rsidR="00DA5771" w:rsidRPr="00F61F1B">
        <w:rPr>
          <w:rFonts w:ascii="Arial" w:hAnsi="Arial" w:cs="Arial"/>
          <w:color w:val="000000"/>
        </w:rPr>
        <w:t xml:space="preserve"> meant that “land within … conservation system units in Alaska may be treated differently from federally managed preservation areas across the country”, and that the difference between “public” and “non-public” lands must assume a special significance.</w:t>
      </w:r>
    </w:p>
    <w:p w14:paraId="12E9E279" w14:textId="77777777" w:rsidR="000B693F" w:rsidRPr="00F61F1B" w:rsidRDefault="000B693F" w:rsidP="00F61F1B">
      <w:pPr>
        <w:spacing w:after="0" w:line="300" w:lineRule="exact"/>
        <w:rPr>
          <w:rFonts w:ascii="Arial" w:hAnsi="Arial" w:cs="Arial"/>
          <w:color w:val="000000"/>
        </w:rPr>
      </w:pPr>
    </w:p>
    <w:p w14:paraId="31A1EA1D" w14:textId="2F8D7B72" w:rsidR="000B693F" w:rsidRPr="00F61F1B" w:rsidRDefault="00571CD5" w:rsidP="00F61F1B">
      <w:pPr>
        <w:spacing w:after="0" w:line="300" w:lineRule="exact"/>
        <w:rPr>
          <w:rFonts w:ascii="Arial" w:hAnsi="Arial" w:cs="Arial"/>
        </w:rPr>
      </w:pPr>
      <w:r w:rsidRPr="00F61F1B">
        <w:rPr>
          <w:rFonts w:ascii="Arial" w:hAnsi="Arial" w:cs="Arial"/>
          <w:color w:val="000000"/>
        </w:rPr>
        <w:t xml:space="preserve">Only </w:t>
      </w:r>
      <w:r w:rsidR="00A513A7" w:rsidRPr="00F61F1B">
        <w:rPr>
          <w:rFonts w:ascii="Arial" w:hAnsi="Arial" w:cs="Arial"/>
          <w:color w:val="000000"/>
        </w:rPr>
        <w:t>two</w:t>
      </w:r>
      <w:r w:rsidRPr="00F61F1B">
        <w:rPr>
          <w:rFonts w:ascii="Arial" w:hAnsi="Arial" w:cs="Arial"/>
          <w:color w:val="000000"/>
        </w:rPr>
        <w:t xml:space="preserve"> </w:t>
      </w:r>
      <w:r w:rsidR="00CE32F1">
        <w:rPr>
          <w:rFonts w:ascii="Arial" w:hAnsi="Arial" w:cs="Arial"/>
          <w:color w:val="000000"/>
        </w:rPr>
        <w:t xml:space="preserve">of the </w:t>
      </w:r>
      <w:r w:rsidRPr="00F61F1B">
        <w:rPr>
          <w:rFonts w:ascii="Arial" w:hAnsi="Arial" w:cs="Arial"/>
          <w:color w:val="000000"/>
        </w:rPr>
        <w:t>case</w:t>
      </w:r>
      <w:r w:rsidR="00A513A7" w:rsidRPr="00F61F1B">
        <w:rPr>
          <w:rFonts w:ascii="Arial" w:hAnsi="Arial" w:cs="Arial"/>
          <w:color w:val="000000"/>
        </w:rPr>
        <w:t>s</w:t>
      </w:r>
      <w:r w:rsidRPr="00F61F1B">
        <w:rPr>
          <w:rFonts w:ascii="Arial" w:hAnsi="Arial" w:cs="Arial"/>
          <w:color w:val="000000"/>
        </w:rPr>
        <w:t xml:space="preserve"> </w:t>
      </w:r>
      <w:r w:rsidR="00CE32F1">
        <w:rPr>
          <w:rFonts w:ascii="Arial" w:hAnsi="Arial" w:cs="Arial"/>
          <w:color w:val="000000"/>
        </w:rPr>
        <w:t>decided in March saw</w:t>
      </w:r>
      <w:r w:rsidRPr="00F61F1B">
        <w:rPr>
          <w:rFonts w:ascii="Arial" w:hAnsi="Arial" w:cs="Arial"/>
          <w:color w:val="000000"/>
        </w:rPr>
        <w:t xml:space="preserve"> divergent responses which nevertheless </w:t>
      </w:r>
      <w:r w:rsidR="00CE32F1">
        <w:rPr>
          <w:rFonts w:ascii="Arial" w:hAnsi="Arial" w:cs="Arial"/>
          <w:color w:val="000000"/>
        </w:rPr>
        <w:t>had</w:t>
      </w:r>
      <w:r w:rsidRPr="00F61F1B">
        <w:rPr>
          <w:rFonts w:ascii="Arial" w:hAnsi="Arial" w:cs="Arial"/>
          <w:color w:val="000000"/>
        </w:rPr>
        <w:t xml:space="preserve"> a clear majority result.</w:t>
      </w:r>
      <w:r w:rsidR="004E5B8B">
        <w:rPr>
          <w:rFonts w:ascii="Arial" w:hAnsi="Arial" w:cs="Arial"/>
          <w:color w:val="000000"/>
        </w:rPr>
        <w:t xml:space="preserve"> </w:t>
      </w:r>
      <w:r w:rsidR="00A513A7" w:rsidRPr="00F61F1B">
        <w:rPr>
          <w:rFonts w:ascii="Arial" w:hAnsi="Arial" w:cs="Arial"/>
          <w:color w:val="000000"/>
        </w:rPr>
        <w:t>The first was an appeal from Iowa</w:t>
      </w:r>
      <w:proofErr w:type="gramStart"/>
      <w:r w:rsidR="00A513A7" w:rsidRPr="00F61F1B">
        <w:rPr>
          <w:rFonts w:ascii="Arial" w:hAnsi="Arial" w:cs="Arial"/>
          <w:color w:val="000000"/>
        </w:rPr>
        <w:t>,</w:t>
      </w:r>
      <w:r w:rsidR="00A513A7" w:rsidRPr="00F61F1B">
        <w:rPr>
          <w:rFonts w:ascii="Arial" w:hAnsi="Arial" w:cs="Arial"/>
          <w:color w:val="392B7D"/>
        </w:rPr>
        <w:t>[</w:t>
      </w:r>
      <w:proofErr w:type="gramEnd"/>
      <w:r w:rsidR="00A513A7" w:rsidRPr="00F61F1B">
        <w:rPr>
          <w:rStyle w:val="EndnoteReference"/>
          <w:rFonts w:ascii="Arial" w:hAnsi="Arial" w:cs="Arial"/>
          <w:color w:val="392B7D"/>
          <w:vertAlign w:val="baseline"/>
        </w:rPr>
        <w:endnoteReference w:id="21"/>
      </w:r>
      <w:r w:rsidR="00A513A7" w:rsidRPr="00F61F1B">
        <w:rPr>
          <w:rFonts w:ascii="Arial" w:hAnsi="Arial" w:cs="Arial"/>
          <w:color w:val="392B7D"/>
        </w:rPr>
        <w:t>]</w:t>
      </w:r>
      <w:r w:rsidR="00A513A7" w:rsidRPr="00F61F1B">
        <w:rPr>
          <w:rFonts w:ascii="Arial" w:hAnsi="Arial" w:cs="Arial"/>
          <w:color w:val="000000"/>
        </w:rPr>
        <w:t xml:space="preserve"> where t</w:t>
      </w:r>
      <w:r w:rsidRPr="00F61F1B">
        <w:rPr>
          <w:rFonts w:ascii="Arial" w:hAnsi="Arial" w:cs="Arial"/>
          <w:color w:val="000000"/>
        </w:rPr>
        <w:t>he workers in a pork processing plant had sought additional overtime payments to cover the time they spent in the donning and removal of protective uniforms.</w:t>
      </w:r>
      <w:r w:rsidR="004E5B8B">
        <w:rPr>
          <w:rFonts w:ascii="Arial" w:hAnsi="Arial" w:cs="Arial"/>
          <w:color w:val="000000"/>
        </w:rPr>
        <w:t xml:space="preserve"> </w:t>
      </w:r>
      <w:r w:rsidRPr="00F61F1B">
        <w:rPr>
          <w:rFonts w:ascii="Arial" w:hAnsi="Arial" w:cs="Arial"/>
          <w:color w:val="000000"/>
        </w:rPr>
        <w:t>The question was whether, despite differences in the kinds of protective clothing involved, the workers’ claims were sufficiently similar to support a class action.</w:t>
      </w:r>
      <w:r w:rsidR="004E5B8B">
        <w:rPr>
          <w:rFonts w:ascii="Arial" w:hAnsi="Arial" w:cs="Arial"/>
          <w:color w:val="000000"/>
        </w:rPr>
        <w:t xml:space="preserve"> </w:t>
      </w:r>
      <w:r w:rsidRPr="00F61F1B">
        <w:rPr>
          <w:rFonts w:ascii="Arial" w:hAnsi="Arial" w:cs="Arial"/>
          <w:color w:val="000000"/>
        </w:rPr>
        <w:t>By six judges to two the Court supported the workers, finding that a class action was justified.</w:t>
      </w:r>
      <w:r w:rsidR="004E5B8B">
        <w:rPr>
          <w:rFonts w:ascii="Arial" w:hAnsi="Arial" w:cs="Arial"/>
          <w:color w:val="000000"/>
        </w:rPr>
        <w:t xml:space="preserve"> </w:t>
      </w:r>
      <w:r w:rsidRPr="00F61F1B">
        <w:rPr>
          <w:rFonts w:ascii="Arial" w:hAnsi="Arial" w:cs="Arial"/>
          <w:color w:val="000000"/>
        </w:rPr>
        <w:t>Predictably, Justices Thomas and Alito were the dissenters.</w:t>
      </w:r>
      <w:r w:rsidR="00671595" w:rsidRPr="00F61F1B">
        <w:rPr>
          <w:rFonts w:ascii="Arial" w:hAnsi="Arial" w:cs="Arial"/>
        </w:rPr>
        <w:t xml:space="preserve"> </w:t>
      </w:r>
    </w:p>
    <w:p w14:paraId="2B9F302E" w14:textId="77777777" w:rsidR="000B693F" w:rsidRPr="00F61F1B" w:rsidRDefault="000B693F" w:rsidP="00F61F1B">
      <w:pPr>
        <w:spacing w:after="0" w:line="300" w:lineRule="exact"/>
        <w:rPr>
          <w:rFonts w:ascii="Arial" w:hAnsi="Arial" w:cs="Arial"/>
        </w:rPr>
      </w:pPr>
    </w:p>
    <w:p w14:paraId="15081FCB" w14:textId="6659517A" w:rsidR="000B693F" w:rsidRPr="00F61F1B" w:rsidRDefault="00671595" w:rsidP="00F61F1B">
      <w:pPr>
        <w:spacing w:after="0" w:line="300" w:lineRule="exact"/>
        <w:rPr>
          <w:rFonts w:ascii="Arial" w:hAnsi="Arial" w:cs="Arial"/>
        </w:rPr>
      </w:pPr>
      <w:r w:rsidRPr="00F61F1B">
        <w:rPr>
          <w:rFonts w:ascii="Arial" w:hAnsi="Arial" w:cs="Arial"/>
        </w:rPr>
        <w:t>Presumably Justice Scalia would have joined them in dissent.</w:t>
      </w:r>
      <w:r w:rsidR="004E5B8B">
        <w:rPr>
          <w:rFonts w:ascii="Arial" w:hAnsi="Arial" w:cs="Arial"/>
        </w:rPr>
        <w:t xml:space="preserve"> </w:t>
      </w:r>
      <w:r w:rsidRPr="00F61F1B">
        <w:rPr>
          <w:rFonts w:ascii="Arial" w:hAnsi="Arial" w:cs="Arial"/>
        </w:rPr>
        <w:t>When the case was argued in November</w:t>
      </w:r>
      <w:r w:rsidR="007F5F76" w:rsidRPr="00F61F1B">
        <w:rPr>
          <w:rFonts w:ascii="Arial" w:hAnsi="Arial" w:cs="Arial"/>
        </w:rPr>
        <w:t xml:space="preserve"> last year</w:t>
      </w:r>
      <w:r w:rsidRPr="00F61F1B">
        <w:rPr>
          <w:rFonts w:ascii="Arial" w:hAnsi="Arial" w:cs="Arial"/>
        </w:rPr>
        <w:t>, he had insisted that the difference between “sanitary gear” and “protective gear” was crucial: “The sanitary gear is the same for all workers.</w:t>
      </w:r>
      <w:r w:rsidR="004E5B8B">
        <w:rPr>
          <w:rFonts w:ascii="Arial" w:hAnsi="Arial" w:cs="Arial"/>
        </w:rPr>
        <w:t xml:space="preserve"> </w:t>
      </w:r>
      <w:r w:rsidRPr="00F61F1B">
        <w:rPr>
          <w:rFonts w:ascii="Arial" w:hAnsi="Arial" w:cs="Arial"/>
        </w:rPr>
        <w:t>But some of them wear, what, chain mail to protect them from the knives, right?”</w:t>
      </w:r>
    </w:p>
    <w:p w14:paraId="73B8625E" w14:textId="77777777" w:rsidR="000B693F" w:rsidRPr="00F61F1B" w:rsidRDefault="000B693F" w:rsidP="00F61F1B">
      <w:pPr>
        <w:spacing w:after="0" w:line="300" w:lineRule="exact"/>
        <w:rPr>
          <w:rFonts w:ascii="Arial" w:hAnsi="Arial" w:cs="Arial"/>
        </w:rPr>
      </w:pPr>
    </w:p>
    <w:p w14:paraId="03A2B620" w14:textId="44A7F257" w:rsidR="0004266C" w:rsidRPr="00F61F1B" w:rsidRDefault="0004266C" w:rsidP="00F61F1B">
      <w:pPr>
        <w:tabs>
          <w:tab w:val="left" w:pos="5030"/>
        </w:tabs>
        <w:spacing w:after="0" w:line="300" w:lineRule="exact"/>
        <w:rPr>
          <w:rFonts w:ascii="Arial" w:hAnsi="Arial" w:cs="Arial"/>
        </w:rPr>
      </w:pPr>
      <w:r w:rsidRPr="00F61F1B">
        <w:rPr>
          <w:rFonts w:ascii="Arial" w:hAnsi="Arial" w:cs="Arial"/>
          <w:color w:val="000000"/>
        </w:rPr>
        <w:t xml:space="preserve">The other </w:t>
      </w:r>
      <w:proofErr w:type="gramStart"/>
      <w:r w:rsidRPr="00F61F1B">
        <w:rPr>
          <w:rFonts w:ascii="Arial" w:hAnsi="Arial" w:cs="Arial"/>
          <w:color w:val="000000"/>
        </w:rPr>
        <w:t>case</w:t>
      </w:r>
      <w:r w:rsidR="00F235AE" w:rsidRPr="00F61F1B">
        <w:rPr>
          <w:rFonts w:ascii="Arial" w:hAnsi="Arial" w:cs="Arial"/>
          <w:color w:val="392B7D"/>
        </w:rPr>
        <w:t>[</w:t>
      </w:r>
      <w:proofErr w:type="gramEnd"/>
      <w:r w:rsidRPr="00F61F1B">
        <w:rPr>
          <w:rStyle w:val="EndnoteReference"/>
          <w:rFonts w:ascii="Arial" w:hAnsi="Arial" w:cs="Arial"/>
          <w:color w:val="392B7D"/>
          <w:vertAlign w:val="baseline"/>
        </w:rPr>
        <w:endnoteReference w:id="22"/>
      </w:r>
      <w:r w:rsidR="00F235AE" w:rsidRPr="00F61F1B">
        <w:rPr>
          <w:rFonts w:ascii="Arial" w:hAnsi="Arial" w:cs="Arial"/>
          <w:color w:val="392B7D"/>
        </w:rPr>
        <w:t>]</w:t>
      </w:r>
      <w:r w:rsidRPr="00F61F1B">
        <w:rPr>
          <w:rFonts w:ascii="Arial" w:hAnsi="Arial" w:cs="Arial"/>
          <w:color w:val="000000"/>
        </w:rPr>
        <w:t xml:space="preserve"> also had a clear result, but the all-too-predictable voting blocs so firmly established in recent years appeared to be in disarray.</w:t>
      </w:r>
      <w:r w:rsidR="004E5B8B">
        <w:rPr>
          <w:rFonts w:ascii="Arial" w:hAnsi="Arial" w:cs="Arial"/>
          <w:color w:val="000000"/>
        </w:rPr>
        <w:t xml:space="preserve"> </w:t>
      </w:r>
      <w:r w:rsidRPr="00F61F1B">
        <w:rPr>
          <w:rFonts w:ascii="Arial" w:hAnsi="Arial" w:cs="Arial"/>
          <w:color w:val="000000"/>
        </w:rPr>
        <w:t xml:space="preserve">When </w:t>
      </w:r>
      <w:proofErr w:type="spellStart"/>
      <w:r w:rsidRPr="00F61F1B">
        <w:rPr>
          <w:rFonts w:ascii="Arial" w:hAnsi="Arial" w:cs="Arial"/>
        </w:rPr>
        <w:t>Sila</w:t>
      </w:r>
      <w:proofErr w:type="spellEnd"/>
      <w:r w:rsidRPr="00F61F1B">
        <w:rPr>
          <w:rFonts w:ascii="Arial" w:hAnsi="Arial" w:cs="Arial"/>
        </w:rPr>
        <w:t xml:space="preserve"> Luis was charged with defrauding Medicare (by paying illegal kickbacks and billing the government for services that her health care agency had never actually provided), the prosecution </w:t>
      </w:r>
      <w:r w:rsidR="00CE32F1">
        <w:rPr>
          <w:rFonts w:ascii="Arial" w:hAnsi="Arial" w:cs="Arial"/>
        </w:rPr>
        <w:t>secur</w:t>
      </w:r>
      <w:r w:rsidRPr="00F61F1B">
        <w:rPr>
          <w:rFonts w:ascii="Arial" w:hAnsi="Arial" w:cs="Arial"/>
        </w:rPr>
        <w:t xml:space="preserve">ed a </w:t>
      </w:r>
      <w:proofErr w:type="spellStart"/>
      <w:r w:rsidRPr="00F61F1B">
        <w:rPr>
          <w:rFonts w:ascii="Arial" w:hAnsi="Arial" w:cs="Arial"/>
        </w:rPr>
        <w:t>pretrial</w:t>
      </w:r>
      <w:proofErr w:type="spellEnd"/>
      <w:r w:rsidRPr="00F61F1B">
        <w:rPr>
          <w:rFonts w:ascii="Arial" w:hAnsi="Arial" w:cs="Arial"/>
        </w:rPr>
        <w:t xml:space="preserve"> order </w:t>
      </w:r>
      <w:r w:rsidRPr="00F61F1B">
        <w:rPr>
          <w:rFonts w:ascii="Arial" w:hAnsi="Arial" w:cs="Arial"/>
          <w:color w:val="000000"/>
        </w:rPr>
        <w:t xml:space="preserve">prohibiting her from “dissipating, or otherwise disposing of [assets] </w:t>
      </w:r>
      <w:r w:rsidR="00CE32F1">
        <w:rPr>
          <w:rFonts w:ascii="Arial" w:hAnsi="Arial" w:cs="Arial"/>
          <w:color w:val="000000"/>
        </w:rPr>
        <w:t xml:space="preserve">… </w:t>
      </w:r>
      <w:r w:rsidRPr="00F61F1B">
        <w:rPr>
          <w:rFonts w:ascii="Arial" w:hAnsi="Arial" w:cs="Arial"/>
          <w:color w:val="000000"/>
        </w:rPr>
        <w:t>up to the equivalent value” of $45 million.</w:t>
      </w:r>
      <w:r w:rsidR="004E5B8B">
        <w:rPr>
          <w:rFonts w:ascii="Arial" w:hAnsi="Arial" w:cs="Arial"/>
          <w:color w:val="000000"/>
        </w:rPr>
        <w:t xml:space="preserve"> </w:t>
      </w:r>
      <w:r w:rsidR="00F235AE" w:rsidRPr="00F61F1B">
        <w:rPr>
          <w:rFonts w:ascii="Arial" w:hAnsi="Arial" w:cs="Arial"/>
          <w:color w:val="000000"/>
        </w:rPr>
        <w:t xml:space="preserve">While such orders </w:t>
      </w:r>
      <w:r w:rsidR="007F5F76" w:rsidRPr="00F61F1B">
        <w:rPr>
          <w:rFonts w:ascii="Arial" w:hAnsi="Arial" w:cs="Arial"/>
          <w:color w:val="000000"/>
        </w:rPr>
        <w:t>usu</w:t>
      </w:r>
      <w:r w:rsidR="00F235AE" w:rsidRPr="00F61F1B">
        <w:rPr>
          <w:rFonts w:ascii="Arial" w:hAnsi="Arial" w:cs="Arial"/>
          <w:color w:val="000000"/>
        </w:rPr>
        <w:t>ally relate to assets directly traceable to the alleged crime, they may also (as in this case) include other unrelated “property of equivalent value”.</w:t>
      </w:r>
      <w:r w:rsidR="004E5B8B">
        <w:rPr>
          <w:rFonts w:ascii="Arial" w:hAnsi="Arial" w:cs="Arial"/>
          <w:color w:val="000000"/>
        </w:rPr>
        <w:t xml:space="preserve"> </w:t>
      </w:r>
      <w:r w:rsidRPr="00F61F1B">
        <w:rPr>
          <w:rFonts w:ascii="Arial" w:hAnsi="Arial" w:cs="Arial"/>
          <w:color w:val="000000"/>
        </w:rPr>
        <w:t xml:space="preserve">Ms Luis protested that </w:t>
      </w:r>
      <w:r w:rsidR="00F235AE" w:rsidRPr="00F61F1B">
        <w:rPr>
          <w:rFonts w:ascii="Arial" w:hAnsi="Arial" w:cs="Arial"/>
          <w:color w:val="000000"/>
        </w:rPr>
        <w:t>such a freezing of her “untainted” property</w:t>
      </w:r>
      <w:r w:rsidRPr="00F61F1B">
        <w:rPr>
          <w:rFonts w:ascii="Arial" w:hAnsi="Arial" w:cs="Arial"/>
          <w:color w:val="000000"/>
        </w:rPr>
        <w:t xml:space="preserve"> would leave her without funds to pay for legal assistance, and would thereby violate her “right to counsel” under the Sixth Amendment.</w:t>
      </w:r>
      <w:r w:rsidR="004E5B8B">
        <w:rPr>
          <w:rFonts w:ascii="Arial" w:hAnsi="Arial" w:cs="Arial"/>
          <w:color w:val="000000"/>
        </w:rPr>
        <w:t xml:space="preserve"> </w:t>
      </w:r>
      <w:r w:rsidRPr="00F61F1B">
        <w:rPr>
          <w:rFonts w:ascii="Arial" w:hAnsi="Arial" w:cs="Arial"/>
        </w:rPr>
        <w:t>By 5:3 the Court accepted her claim, and allowed her appeal.</w:t>
      </w:r>
    </w:p>
    <w:p w14:paraId="14319469" w14:textId="77777777" w:rsidR="001C4247" w:rsidRPr="00F61F1B" w:rsidRDefault="001C4247" w:rsidP="00F61F1B">
      <w:pPr>
        <w:tabs>
          <w:tab w:val="left" w:pos="5030"/>
        </w:tabs>
        <w:spacing w:after="0" w:line="300" w:lineRule="exact"/>
        <w:rPr>
          <w:rFonts w:ascii="Arial" w:hAnsi="Arial" w:cs="Arial"/>
        </w:rPr>
      </w:pPr>
    </w:p>
    <w:p w14:paraId="4D174F1E" w14:textId="3052EF60" w:rsidR="0004266C" w:rsidRPr="00F61F1B" w:rsidRDefault="0004266C" w:rsidP="00F61F1B">
      <w:pPr>
        <w:tabs>
          <w:tab w:val="left" w:pos="5030"/>
        </w:tabs>
        <w:spacing w:after="0" w:line="300" w:lineRule="exact"/>
        <w:rPr>
          <w:rFonts w:ascii="Arial" w:hAnsi="Arial" w:cs="Arial"/>
          <w:color w:val="000000"/>
        </w:rPr>
      </w:pPr>
      <w:r w:rsidRPr="00F61F1B">
        <w:rPr>
          <w:rFonts w:ascii="Arial" w:hAnsi="Arial" w:cs="Arial"/>
          <w:color w:val="000000"/>
        </w:rPr>
        <w:t xml:space="preserve">The Opinion of the Court was delivered by the “liberal” Justice </w:t>
      </w:r>
      <w:proofErr w:type="spellStart"/>
      <w:r w:rsidRPr="00F61F1B">
        <w:rPr>
          <w:rFonts w:ascii="Arial" w:hAnsi="Arial" w:cs="Arial"/>
          <w:color w:val="000000"/>
        </w:rPr>
        <w:t>Breyer</w:t>
      </w:r>
      <w:proofErr w:type="spellEnd"/>
      <w:r w:rsidRPr="00F61F1B">
        <w:rPr>
          <w:rFonts w:ascii="Arial" w:hAnsi="Arial" w:cs="Arial"/>
          <w:color w:val="000000"/>
        </w:rPr>
        <w:t>.</w:t>
      </w:r>
      <w:r w:rsidR="004E5B8B">
        <w:rPr>
          <w:rFonts w:ascii="Arial" w:hAnsi="Arial" w:cs="Arial"/>
          <w:color w:val="000000"/>
        </w:rPr>
        <w:t xml:space="preserve"> </w:t>
      </w:r>
      <w:r w:rsidRPr="00F61F1B">
        <w:rPr>
          <w:rFonts w:ascii="Arial" w:hAnsi="Arial" w:cs="Arial"/>
          <w:color w:val="000000"/>
        </w:rPr>
        <w:t xml:space="preserve">He was joined by the “liberal” Justices Ginsburg and </w:t>
      </w:r>
      <w:proofErr w:type="spellStart"/>
      <w:r w:rsidR="007D6BCA">
        <w:rPr>
          <w:rFonts w:ascii="Arial" w:hAnsi="Arial" w:cs="Arial"/>
          <w:color w:val="000000"/>
        </w:rPr>
        <w:t>t</w:t>
      </w:r>
      <w:r w:rsidR="00594A8D" w:rsidRPr="00F61F1B">
        <w:rPr>
          <w:rFonts w:ascii="Arial" w:hAnsi="Arial" w:cs="Arial"/>
          <w:color w:val="000000"/>
        </w:rPr>
        <w:t>Sot</w:t>
      </w:r>
      <w:r w:rsidRPr="00F61F1B">
        <w:rPr>
          <w:rFonts w:ascii="Arial" w:hAnsi="Arial" w:cs="Arial"/>
          <w:color w:val="000000"/>
        </w:rPr>
        <w:t>omayor</w:t>
      </w:r>
      <w:proofErr w:type="spellEnd"/>
      <w:r w:rsidRPr="00F61F1B">
        <w:rPr>
          <w:rFonts w:ascii="Arial" w:hAnsi="Arial" w:cs="Arial"/>
          <w:color w:val="000000"/>
        </w:rPr>
        <w:t>, but also by Chief Justice Roberts.</w:t>
      </w:r>
      <w:r w:rsidR="004E5B8B">
        <w:rPr>
          <w:rFonts w:ascii="Arial" w:hAnsi="Arial" w:cs="Arial"/>
          <w:color w:val="000000"/>
        </w:rPr>
        <w:t xml:space="preserve"> </w:t>
      </w:r>
      <w:r w:rsidRPr="00F61F1B">
        <w:rPr>
          <w:rFonts w:ascii="Arial" w:hAnsi="Arial" w:cs="Arial"/>
          <w:color w:val="000000"/>
        </w:rPr>
        <w:t xml:space="preserve">They stressed that the “right to counsel” is “fundamental”, and held that earlier judgments upholding such </w:t>
      </w:r>
      <w:proofErr w:type="gramStart"/>
      <w:r w:rsidRPr="00F61F1B">
        <w:rPr>
          <w:rFonts w:ascii="Arial" w:hAnsi="Arial" w:cs="Arial"/>
          <w:color w:val="000000"/>
        </w:rPr>
        <w:t>orders</w:t>
      </w:r>
      <w:r w:rsidR="007F5F76" w:rsidRPr="00F61F1B">
        <w:rPr>
          <w:rFonts w:ascii="Arial" w:hAnsi="Arial" w:cs="Arial"/>
          <w:color w:val="392B7D"/>
        </w:rPr>
        <w:t>[</w:t>
      </w:r>
      <w:proofErr w:type="gramEnd"/>
      <w:r w:rsidR="00A513A7" w:rsidRPr="00F61F1B">
        <w:rPr>
          <w:rStyle w:val="EndnoteReference"/>
          <w:rFonts w:ascii="Arial" w:hAnsi="Arial" w:cs="Arial"/>
          <w:color w:val="392B7D"/>
          <w:vertAlign w:val="baseline"/>
        </w:rPr>
        <w:endnoteReference w:id="23"/>
      </w:r>
      <w:r w:rsidR="007F5F76" w:rsidRPr="00F61F1B">
        <w:rPr>
          <w:rFonts w:ascii="Arial" w:hAnsi="Arial" w:cs="Arial"/>
          <w:color w:val="392B7D"/>
        </w:rPr>
        <w:t>]</w:t>
      </w:r>
      <w:r w:rsidRPr="00F61F1B">
        <w:rPr>
          <w:rFonts w:ascii="Arial" w:hAnsi="Arial" w:cs="Arial"/>
          <w:color w:val="000000"/>
        </w:rPr>
        <w:t xml:space="preserve"> could be distinguished because the orders </w:t>
      </w:r>
      <w:r w:rsidR="007F5F76" w:rsidRPr="00F61F1B">
        <w:rPr>
          <w:rFonts w:ascii="Arial" w:hAnsi="Arial" w:cs="Arial"/>
          <w:color w:val="000000"/>
        </w:rPr>
        <w:t xml:space="preserve">made </w:t>
      </w:r>
      <w:r w:rsidRPr="00F61F1B">
        <w:rPr>
          <w:rFonts w:ascii="Arial" w:hAnsi="Arial" w:cs="Arial"/>
          <w:color w:val="000000"/>
        </w:rPr>
        <w:t>in those cases related to assets traceable to the crime.</w:t>
      </w:r>
      <w:r w:rsidR="004E5B8B">
        <w:rPr>
          <w:rFonts w:ascii="Arial" w:hAnsi="Arial" w:cs="Arial"/>
          <w:color w:val="000000"/>
        </w:rPr>
        <w:t xml:space="preserve"> </w:t>
      </w:r>
      <w:r w:rsidRPr="00F61F1B">
        <w:rPr>
          <w:rFonts w:ascii="Arial" w:hAnsi="Arial" w:cs="Arial"/>
          <w:color w:val="000000"/>
        </w:rPr>
        <w:t>In such a case “the defendant’s ownership interest is imperfect.</w:t>
      </w:r>
      <w:r w:rsidR="004E5B8B">
        <w:rPr>
          <w:rFonts w:ascii="Arial" w:hAnsi="Arial" w:cs="Arial"/>
          <w:color w:val="000000"/>
        </w:rPr>
        <w:t xml:space="preserve"> </w:t>
      </w:r>
      <w:r w:rsidRPr="00F61F1B">
        <w:rPr>
          <w:rFonts w:ascii="Arial" w:hAnsi="Arial" w:cs="Arial"/>
          <w:color w:val="000000"/>
        </w:rPr>
        <w:t>The robber’s loot belongs to the victim, not to the defendant.”</w:t>
      </w:r>
      <w:r w:rsidR="004E5B8B">
        <w:rPr>
          <w:rFonts w:ascii="Arial" w:hAnsi="Arial" w:cs="Arial"/>
          <w:color w:val="000000"/>
        </w:rPr>
        <w:t xml:space="preserve"> </w:t>
      </w:r>
      <w:r w:rsidRPr="00F61F1B">
        <w:rPr>
          <w:rFonts w:ascii="Arial" w:hAnsi="Arial" w:cs="Arial"/>
          <w:color w:val="000000"/>
        </w:rPr>
        <w:t xml:space="preserve">This case was different because </w:t>
      </w:r>
      <w:r w:rsidRPr="00F61F1B">
        <w:rPr>
          <w:rFonts w:ascii="Arial" w:hAnsi="Arial" w:cs="Arial"/>
          <w:color w:val="000000"/>
        </w:rPr>
        <w:lastRenderedPageBreak/>
        <w:t>the relevant property “</w:t>
      </w:r>
      <w:r w:rsidRPr="00F61F1B">
        <w:rPr>
          <w:rFonts w:ascii="Arial" w:hAnsi="Arial" w:cs="Arial"/>
        </w:rPr>
        <w:t xml:space="preserve">is untainted; </w:t>
      </w:r>
      <w:r w:rsidRPr="00F61F1B">
        <w:rPr>
          <w:rFonts w:ascii="Arial" w:hAnsi="Arial" w:cs="Arial"/>
          <w:i/>
          <w:iCs/>
        </w:rPr>
        <w:t>i.e.</w:t>
      </w:r>
      <w:r w:rsidRPr="00F61F1B">
        <w:rPr>
          <w:rFonts w:ascii="Arial" w:hAnsi="Arial" w:cs="Arial"/>
        </w:rPr>
        <w:t>, it belongs to the defendant, pure and simple.”</w:t>
      </w:r>
      <w:r w:rsidR="004E5B8B">
        <w:rPr>
          <w:rFonts w:ascii="Arial" w:hAnsi="Arial" w:cs="Arial"/>
        </w:rPr>
        <w:t xml:space="preserve"> </w:t>
      </w:r>
      <w:r w:rsidRPr="00F61F1B">
        <w:rPr>
          <w:rFonts w:ascii="Arial" w:hAnsi="Arial" w:cs="Arial"/>
        </w:rPr>
        <w:t xml:space="preserve">Accordingly they </w:t>
      </w:r>
      <w:r w:rsidRPr="00F61F1B">
        <w:rPr>
          <w:rFonts w:ascii="Arial" w:hAnsi="Arial" w:cs="Arial"/>
          <w:color w:val="000000"/>
        </w:rPr>
        <w:t>expanded the reach of the Sixth Amendment to include a right to use “innocent” property to pay for the assistance of counsel.</w:t>
      </w:r>
    </w:p>
    <w:p w14:paraId="12431CF9" w14:textId="77777777" w:rsidR="00F66E54" w:rsidRPr="00F61F1B" w:rsidRDefault="00F66E54" w:rsidP="00F61F1B">
      <w:pPr>
        <w:tabs>
          <w:tab w:val="left" w:pos="5030"/>
        </w:tabs>
        <w:spacing w:after="0" w:line="300" w:lineRule="exact"/>
        <w:rPr>
          <w:rFonts w:ascii="Arial" w:hAnsi="Arial" w:cs="Arial"/>
          <w:color w:val="000000"/>
        </w:rPr>
      </w:pPr>
    </w:p>
    <w:p w14:paraId="33BB4597" w14:textId="0547E791" w:rsidR="0004266C" w:rsidRPr="00F61F1B" w:rsidRDefault="0004266C" w:rsidP="00F61F1B">
      <w:pPr>
        <w:tabs>
          <w:tab w:val="left" w:pos="5030"/>
        </w:tabs>
        <w:spacing w:after="0" w:line="300" w:lineRule="exact"/>
        <w:rPr>
          <w:rFonts w:ascii="Arial" w:hAnsi="Arial" w:cs="Arial"/>
          <w:color w:val="000000"/>
        </w:rPr>
      </w:pPr>
      <w:r w:rsidRPr="00F61F1B">
        <w:rPr>
          <w:rFonts w:ascii="Arial" w:hAnsi="Arial" w:cs="Arial"/>
          <w:color w:val="000000"/>
        </w:rPr>
        <w:t>The crucial fifth vote was provided in a separate opinion by the “conservative” Justice Thomas</w:t>
      </w:r>
      <w:r w:rsidR="003B5060">
        <w:rPr>
          <w:rFonts w:ascii="Arial" w:hAnsi="Arial" w:cs="Arial"/>
          <w:color w:val="000000"/>
        </w:rPr>
        <w:t xml:space="preserve"> –</w:t>
      </w:r>
      <w:r w:rsidRPr="00F61F1B">
        <w:rPr>
          <w:rFonts w:ascii="Arial" w:hAnsi="Arial" w:cs="Arial"/>
          <w:color w:val="000000"/>
        </w:rPr>
        <w:t xml:space="preserve"> rejecting Justice </w:t>
      </w:r>
      <w:proofErr w:type="spellStart"/>
      <w:r w:rsidRPr="00F61F1B">
        <w:rPr>
          <w:rFonts w:ascii="Arial" w:hAnsi="Arial" w:cs="Arial"/>
          <w:color w:val="000000"/>
        </w:rPr>
        <w:t>Breyer’s</w:t>
      </w:r>
      <w:proofErr w:type="spellEnd"/>
      <w:r w:rsidRPr="00F61F1B">
        <w:rPr>
          <w:rFonts w:ascii="Arial" w:hAnsi="Arial" w:cs="Arial"/>
          <w:color w:val="000000"/>
        </w:rPr>
        <w:t xml:space="preserve"> “balancing approach”, but concurring on the basis of a Scalia-like “originalist” reading of the Sixth Amendment as </w:t>
      </w:r>
      <w:r w:rsidR="007F5F76" w:rsidRPr="00F61F1B">
        <w:rPr>
          <w:rFonts w:ascii="Arial" w:hAnsi="Arial" w:cs="Arial"/>
          <w:color w:val="000000"/>
        </w:rPr>
        <w:t xml:space="preserve">specifically </w:t>
      </w:r>
      <w:r w:rsidRPr="00F61F1B">
        <w:rPr>
          <w:rFonts w:ascii="Arial" w:hAnsi="Arial" w:cs="Arial"/>
          <w:color w:val="000000"/>
        </w:rPr>
        <w:t xml:space="preserve">intended to guarantee an accused the right “to employ a lawyer to assist in his </w:t>
      </w:r>
      <w:proofErr w:type="spellStart"/>
      <w:r w:rsidRPr="00F61F1B">
        <w:rPr>
          <w:rFonts w:ascii="Arial" w:hAnsi="Arial" w:cs="Arial"/>
          <w:color w:val="000000"/>
        </w:rPr>
        <w:t>defense</w:t>
      </w:r>
      <w:proofErr w:type="spellEnd"/>
      <w:r w:rsidRPr="00F61F1B">
        <w:rPr>
          <w:rFonts w:ascii="Arial" w:hAnsi="Arial" w:cs="Arial"/>
          <w:color w:val="000000"/>
        </w:rPr>
        <w:t>”.</w:t>
      </w:r>
      <w:r w:rsidR="004E5B8B">
        <w:rPr>
          <w:rFonts w:ascii="Arial" w:hAnsi="Arial" w:cs="Arial"/>
          <w:color w:val="000000"/>
        </w:rPr>
        <w:t xml:space="preserve"> </w:t>
      </w:r>
      <w:r w:rsidRPr="00F61F1B">
        <w:rPr>
          <w:rFonts w:ascii="Arial" w:hAnsi="Arial" w:cs="Arial"/>
          <w:color w:val="000000"/>
        </w:rPr>
        <w:t xml:space="preserve">From the “conservative” side there was a dissent by Justice Kennedy (joined by Justice Alito); from the “liberal” side there was a dissent by Justice </w:t>
      </w:r>
      <w:proofErr w:type="spellStart"/>
      <w:r w:rsidRPr="00F61F1B">
        <w:rPr>
          <w:rFonts w:ascii="Arial" w:hAnsi="Arial" w:cs="Arial"/>
          <w:color w:val="000000"/>
        </w:rPr>
        <w:t>Kagan</w:t>
      </w:r>
      <w:proofErr w:type="spellEnd"/>
      <w:r w:rsidRPr="00F61F1B">
        <w:rPr>
          <w:rFonts w:ascii="Arial" w:hAnsi="Arial" w:cs="Arial"/>
          <w:color w:val="000000"/>
        </w:rPr>
        <w:t>.</w:t>
      </w:r>
    </w:p>
    <w:p w14:paraId="3269701F" w14:textId="77777777" w:rsidR="00F66E54" w:rsidRPr="00F61F1B" w:rsidRDefault="00F66E54" w:rsidP="00F61F1B">
      <w:pPr>
        <w:tabs>
          <w:tab w:val="left" w:pos="5030"/>
        </w:tabs>
        <w:spacing w:after="0" w:line="300" w:lineRule="exact"/>
        <w:rPr>
          <w:rFonts w:ascii="Arial" w:hAnsi="Arial" w:cs="Arial"/>
          <w:color w:val="000000"/>
        </w:rPr>
      </w:pPr>
    </w:p>
    <w:p w14:paraId="11FF2CEE" w14:textId="16382F3B" w:rsidR="0004266C" w:rsidRPr="00F61F1B" w:rsidRDefault="0004266C" w:rsidP="00F61F1B">
      <w:pPr>
        <w:tabs>
          <w:tab w:val="left" w:pos="5030"/>
        </w:tabs>
        <w:spacing w:after="0" w:line="300" w:lineRule="exact"/>
        <w:rPr>
          <w:rFonts w:ascii="Arial" w:hAnsi="Arial" w:cs="Arial"/>
          <w:color w:val="000000"/>
        </w:rPr>
      </w:pPr>
      <w:r w:rsidRPr="00F61F1B">
        <w:rPr>
          <w:rFonts w:ascii="Arial" w:hAnsi="Arial" w:cs="Arial"/>
          <w:color w:val="000000"/>
        </w:rPr>
        <w:t xml:space="preserve">Back when the case was argued in November, all of the Justices had initially seemed inclined to reject </w:t>
      </w:r>
      <w:r w:rsidR="003B5060">
        <w:rPr>
          <w:rFonts w:ascii="Arial" w:hAnsi="Arial" w:cs="Arial"/>
          <w:color w:val="000000"/>
        </w:rPr>
        <w:t>the idea of</w:t>
      </w:r>
      <w:r w:rsidRPr="00F61F1B">
        <w:rPr>
          <w:rFonts w:ascii="Arial" w:hAnsi="Arial" w:cs="Arial"/>
          <w:color w:val="000000"/>
        </w:rPr>
        <w:t xml:space="preserve"> a distinction based on property law, arguing that there was no way such a distinction could be limited to Sixth Amendment issues.</w:t>
      </w:r>
      <w:r w:rsidR="004E5B8B">
        <w:rPr>
          <w:rFonts w:ascii="Arial" w:hAnsi="Arial" w:cs="Arial"/>
          <w:color w:val="000000"/>
        </w:rPr>
        <w:t xml:space="preserve"> </w:t>
      </w:r>
      <w:r w:rsidRPr="00F61F1B">
        <w:rPr>
          <w:rFonts w:ascii="Arial" w:hAnsi="Arial" w:cs="Arial"/>
          <w:color w:val="000000"/>
        </w:rPr>
        <w:t xml:space="preserve">Justice Sotomayor </w:t>
      </w:r>
      <w:r w:rsidR="007F5F76" w:rsidRPr="00F61F1B">
        <w:rPr>
          <w:rFonts w:ascii="Arial" w:hAnsi="Arial" w:cs="Arial"/>
          <w:color w:val="000000"/>
        </w:rPr>
        <w:t xml:space="preserve">had </w:t>
      </w:r>
      <w:r w:rsidRPr="00F61F1B">
        <w:rPr>
          <w:rFonts w:ascii="Arial" w:hAnsi="Arial" w:cs="Arial"/>
          <w:color w:val="000000"/>
        </w:rPr>
        <w:t>objected that the “logic of your argument” would suggest “that you can’t freeze untainted assets for anything, because the government has no property interest”.</w:t>
      </w:r>
      <w:r w:rsidR="004E5B8B">
        <w:rPr>
          <w:rFonts w:ascii="Arial" w:hAnsi="Arial" w:cs="Arial"/>
          <w:color w:val="000000"/>
        </w:rPr>
        <w:t xml:space="preserve"> </w:t>
      </w:r>
      <w:r w:rsidRPr="00F61F1B">
        <w:rPr>
          <w:rFonts w:ascii="Arial" w:hAnsi="Arial" w:cs="Arial"/>
          <w:color w:val="000000"/>
        </w:rPr>
        <w:t xml:space="preserve">Justice Scalia </w:t>
      </w:r>
      <w:r w:rsidR="007F5F76" w:rsidRPr="00F61F1B">
        <w:rPr>
          <w:rFonts w:ascii="Arial" w:hAnsi="Arial" w:cs="Arial"/>
          <w:color w:val="000000"/>
        </w:rPr>
        <w:t xml:space="preserve">had </w:t>
      </w:r>
      <w:r w:rsidRPr="00F61F1B">
        <w:rPr>
          <w:rFonts w:ascii="Arial" w:hAnsi="Arial" w:cs="Arial"/>
          <w:color w:val="000000"/>
        </w:rPr>
        <w:t>put the example of “a devout Muslim” who “makes an annual trip to Mecca every year.”</w:t>
      </w:r>
      <w:r w:rsidR="004E5B8B">
        <w:rPr>
          <w:rFonts w:ascii="Arial" w:hAnsi="Arial" w:cs="Arial"/>
          <w:color w:val="000000"/>
        </w:rPr>
        <w:t xml:space="preserve"> </w:t>
      </w:r>
      <w:r w:rsidRPr="00F61F1B">
        <w:rPr>
          <w:rFonts w:ascii="Arial" w:hAnsi="Arial" w:cs="Arial"/>
          <w:color w:val="000000"/>
        </w:rPr>
        <w:t>If her assets were frozen, how could she claim a constitutional right to make the trip?</w:t>
      </w:r>
      <w:r w:rsidR="004E5B8B">
        <w:rPr>
          <w:rFonts w:ascii="Arial" w:hAnsi="Arial" w:cs="Arial"/>
          <w:color w:val="000000"/>
        </w:rPr>
        <w:t xml:space="preserve"> </w:t>
      </w:r>
      <w:r w:rsidRPr="00F61F1B">
        <w:rPr>
          <w:rFonts w:ascii="Arial" w:hAnsi="Arial" w:cs="Arial"/>
          <w:color w:val="000000"/>
        </w:rPr>
        <w:t>In the end experienced court watchers found the result unpredictable, and so it proved to be.</w:t>
      </w:r>
    </w:p>
    <w:p w14:paraId="056B6DDF" w14:textId="77777777" w:rsidR="00F66E54" w:rsidRPr="00F61F1B" w:rsidRDefault="00F66E54" w:rsidP="00F61F1B">
      <w:pPr>
        <w:tabs>
          <w:tab w:val="left" w:pos="5030"/>
        </w:tabs>
        <w:spacing w:after="0" w:line="300" w:lineRule="exact"/>
        <w:rPr>
          <w:rFonts w:ascii="Arial" w:hAnsi="Arial" w:cs="Arial"/>
          <w:color w:val="000000"/>
        </w:rPr>
      </w:pPr>
    </w:p>
    <w:p w14:paraId="0562BB76" w14:textId="220F882A" w:rsidR="00F66E54" w:rsidRPr="00F61F1B" w:rsidRDefault="00F66E54" w:rsidP="00F61F1B">
      <w:pPr>
        <w:spacing w:after="0" w:line="300" w:lineRule="exact"/>
        <w:rPr>
          <w:rFonts w:ascii="Arial" w:hAnsi="Arial" w:cs="Arial"/>
        </w:rPr>
      </w:pPr>
      <w:r w:rsidRPr="00F61F1B">
        <w:rPr>
          <w:rFonts w:ascii="Arial" w:hAnsi="Arial" w:cs="Arial"/>
        </w:rPr>
        <w:t>All of the cases discussed so far had been dealt with during the first ten days immediately after the equinox, which this year fell on 20 March and ushered in the American spring.</w:t>
      </w:r>
      <w:r w:rsidR="004E5B8B">
        <w:rPr>
          <w:rFonts w:ascii="Arial" w:hAnsi="Arial" w:cs="Arial"/>
        </w:rPr>
        <w:t xml:space="preserve"> </w:t>
      </w:r>
      <w:r w:rsidRPr="00F61F1B">
        <w:rPr>
          <w:rFonts w:ascii="Arial" w:hAnsi="Arial" w:cs="Arial"/>
        </w:rPr>
        <w:t>It looked as if the Court was heading into a long hot summer.</w:t>
      </w:r>
      <w:r w:rsidR="004E5B8B">
        <w:rPr>
          <w:rFonts w:ascii="Arial" w:hAnsi="Arial" w:cs="Arial"/>
        </w:rPr>
        <w:t xml:space="preserve"> </w:t>
      </w:r>
      <w:r w:rsidRPr="00F61F1B">
        <w:rPr>
          <w:rFonts w:ascii="Arial" w:hAnsi="Arial" w:cs="Arial"/>
        </w:rPr>
        <w:t>But on Monday 4 April the Court announced three more decisions, all of them unanimous.</w:t>
      </w:r>
    </w:p>
    <w:p w14:paraId="37BE613B" w14:textId="77777777" w:rsidR="00F66E54" w:rsidRPr="00F61F1B" w:rsidRDefault="00F66E54" w:rsidP="00F61F1B">
      <w:pPr>
        <w:spacing w:after="0" w:line="300" w:lineRule="exact"/>
        <w:rPr>
          <w:rFonts w:ascii="Arial" w:hAnsi="Arial" w:cs="Arial"/>
        </w:rPr>
      </w:pPr>
    </w:p>
    <w:p w14:paraId="1DA4D33A" w14:textId="5B3E9DC5" w:rsidR="008979F3" w:rsidRPr="00F61F1B" w:rsidRDefault="00F66E54" w:rsidP="00F61F1B">
      <w:pPr>
        <w:spacing w:after="0" w:line="300" w:lineRule="exact"/>
        <w:rPr>
          <w:rFonts w:ascii="Arial" w:hAnsi="Arial" w:cs="Arial"/>
        </w:rPr>
      </w:pPr>
      <w:r w:rsidRPr="00F61F1B">
        <w:rPr>
          <w:rFonts w:ascii="Arial" w:hAnsi="Arial" w:cs="Arial"/>
        </w:rPr>
        <w:t xml:space="preserve">In one of them, as in the earlier gun control case, the appeal was allowed per </w:t>
      </w:r>
      <w:proofErr w:type="spellStart"/>
      <w:r w:rsidRPr="00F61F1B">
        <w:rPr>
          <w:rFonts w:ascii="Arial" w:hAnsi="Arial" w:cs="Arial"/>
        </w:rPr>
        <w:t>curiam</w:t>
      </w:r>
      <w:proofErr w:type="spellEnd"/>
      <w:r w:rsidRPr="00F61F1B">
        <w:rPr>
          <w:rFonts w:ascii="Arial" w:hAnsi="Arial" w:cs="Arial"/>
        </w:rPr>
        <w:t>, without waiting for oral argument.</w:t>
      </w:r>
      <w:r w:rsidR="005541D1" w:rsidRPr="00F61F1B">
        <w:rPr>
          <w:rFonts w:ascii="Arial" w:hAnsi="Arial" w:cs="Arial"/>
          <w:color w:val="392B7D"/>
        </w:rPr>
        <w:t>[</w:t>
      </w:r>
      <w:r w:rsidRPr="00F61F1B">
        <w:rPr>
          <w:rStyle w:val="EndnoteReference"/>
          <w:rFonts w:ascii="Arial" w:hAnsi="Arial" w:cs="Arial"/>
          <w:color w:val="392B7D"/>
          <w:vertAlign w:val="baseline"/>
        </w:rPr>
        <w:endnoteReference w:id="24"/>
      </w:r>
      <w:r w:rsidR="005541D1" w:rsidRPr="00F61F1B">
        <w:rPr>
          <w:rFonts w:ascii="Arial" w:hAnsi="Arial" w:cs="Arial"/>
          <w:color w:val="392B7D"/>
        </w:rPr>
        <w:t>]</w:t>
      </w:r>
      <w:r w:rsidR="004E5B8B">
        <w:rPr>
          <w:rFonts w:ascii="Arial" w:hAnsi="Arial" w:cs="Arial"/>
        </w:rPr>
        <w:t xml:space="preserve"> </w:t>
      </w:r>
      <w:r w:rsidRPr="00F61F1B">
        <w:rPr>
          <w:rFonts w:ascii="Arial" w:hAnsi="Arial" w:cs="Arial"/>
        </w:rPr>
        <w:t>The respondent, an inmate in the Chippewa Correctional Facility in Michigan, had been convicted of a drug offence, discovered when police had stopped his car as a result of an anonymous tip.</w:t>
      </w:r>
      <w:r w:rsidR="004E5B8B">
        <w:rPr>
          <w:rFonts w:ascii="Arial" w:hAnsi="Arial" w:cs="Arial"/>
        </w:rPr>
        <w:t xml:space="preserve"> </w:t>
      </w:r>
      <w:r w:rsidRPr="00F61F1B">
        <w:rPr>
          <w:rFonts w:ascii="Arial" w:hAnsi="Arial" w:cs="Arial"/>
        </w:rPr>
        <w:t>He argued that at his original trial the evidence given of the tip had violated his Sixth Amendment right “to be confronted with the witnesses against him</w:t>
      </w:r>
      <w:r w:rsidR="00226E6C" w:rsidRPr="00F61F1B">
        <w:rPr>
          <w:rFonts w:ascii="Arial" w:hAnsi="Arial" w:cs="Arial"/>
        </w:rPr>
        <w:t>”</w:t>
      </w:r>
      <w:r w:rsidR="00226E6C">
        <w:rPr>
          <w:rFonts w:ascii="Arial" w:hAnsi="Arial" w:cs="Arial"/>
        </w:rPr>
        <w:t>;</w:t>
      </w:r>
      <w:r w:rsidR="00226E6C" w:rsidRPr="00F61F1B">
        <w:rPr>
          <w:rFonts w:ascii="Arial" w:hAnsi="Arial" w:cs="Arial"/>
        </w:rPr>
        <w:t xml:space="preserve"> </w:t>
      </w:r>
      <w:r w:rsidRPr="00F61F1B">
        <w:rPr>
          <w:rFonts w:ascii="Arial" w:hAnsi="Arial" w:cs="Arial"/>
        </w:rPr>
        <w:t>that his counsel, both at trial and on appeal, had unreasonably failed to raise that issue; and that</w:t>
      </w:r>
      <w:r w:rsidR="003B5060">
        <w:rPr>
          <w:rFonts w:ascii="Arial" w:hAnsi="Arial" w:cs="Arial"/>
        </w:rPr>
        <w:t>,</w:t>
      </w:r>
      <w:r w:rsidRPr="00F61F1B">
        <w:rPr>
          <w:rFonts w:ascii="Arial" w:hAnsi="Arial" w:cs="Arial"/>
        </w:rPr>
        <w:t xml:space="preserve"> though these arguments had failed in the Michigan courts</w:t>
      </w:r>
      <w:r w:rsidR="003B5060">
        <w:rPr>
          <w:rFonts w:ascii="Arial" w:hAnsi="Arial" w:cs="Arial"/>
        </w:rPr>
        <w:t>,</w:t>
      </w:r>
      <w:r w:rsidRPr="00F61F1B">
        <w:rPr>
          <w:rFonts w:ascii="Arial" w:hAnsi="Arial" w:cs="Arial"/>
        </w:rPr>
        <w:t xml:space="preserve"> they entitled him to federal habeas</w:t>
      </w:r>
      <w:r w:rsidR="003B5060">
        <w:rPr>
          <w:rFonts w:ascii="Arial" w:hAnsi="Arial" w:cs="Arial"/>
        </w:rPr>
        <w:t xml:space="preserve"> corpus</w:t>
      </w:r>
      <w:r w:rsidRPr="00F61F1B">
        <w:rPr>
          <w:rFonts w:ascii="Arial" w:hAnsi="Arial" w:cs="Arial"/>
        </w:rPr>
        <w:t xml:space="preserve"> relief.</w:t>
      </w:r>
      <w:r w:rsidR="004E5B8B">
        <w:rPr>
          <w:rFonts w:ascii="Arial" w:hAnsi="Arial" w:cs="Arial"/>
        </w:rPr>
        <w:t xml:space="preserve"> </w:t>
      </w:r>
      <w:r w:rsidRPr="00F61F1B">
        <w:rPr>
          <w:rFonts w:ascii="Arial" w:hAnsi="Arial" w:cs="Arial"/>
        </w:rPr>
        <w:t>The Court of Appeals for the Sixth Circuit had accepted that claim</w:t>
      </w:r>
      <w:proofErr w:type="gramStart"/>
      <w:r w:rsidRPr="00F61F1B">
        <w:rPr>
          <w:rFonts w:ascii="Arial" w:hAnsi="Arial" w:cs="Arial"/>
        </w:rPr>
        <w:t>,</w:t>
      </w:r>
      <w:r w:rsidR="008979F3" w:rsidRPr="00F61F1B">
        <w:rPr>
          <w:rFonts w:ascii="Arial" w:hAnsi="Arial" w:cs="Arial"/>
          <w:color w:val="392B7D"/>
        </w:rPr>
        <w:t>[</w:t>
      </w:r>
      <w:proofErr w:type="gramEnd"/>
      <w:r w:rsidR="005541D1" w:rsidRPr="00F61F1B">
        <w:rPr>
          <w:rStyle w:val="EndnoteReference"/>
          <w:rFonts w:ascii="Arial" w:hAnsi="Arial" w:cs="Arial"/>
          <w:color w:val="392B7D"/>
          <w:vertAlign w:val="baseline"/>
        </w:rPr>
        <w:endnoteReference w:id="25"/>
      </w:r>
      <w:r w:rsidR="008979F3" w:rsidRPr="00F61F1B">
        <w:rPr>
          <w:rFonts w:ascii="Arial" w:hAnsi="Arial" w:cs="Arial"/>
          <w:color w:val="392B7D"/>
        </w:rPr>
        <w:t>]</w:t>
      </w:r>
      <w:r w:rsidR="008979F3" w:rsidRPr="00F61F1B">
        <w:rPr>
          <w:rFonts w:ascii="Arial" w:hAnsi="Arial" w:cs="Arial"/>
        </w:rPr>
        <w:t xml:space="preserve"> but now (on appeal by the prison warden) the Supreme Court reversed that result.</w:t>
      </w:r>
    </w:p>
    <w:p w14:paraId="574813C9" w14:textId="77777777" w:rsidR="008979F3" w:rsidRPr="00F61F1B" w:rsidRDefault="008979F3" w:rsidP="00F61F1B">
      <w:pPr>
        <w:spacing w:after="0" w:line="300" w:lineRule="exact"/>
        <w:rPr>
          <w:rFonts w:ascii="Arial" w:hAnsi="Arial" w:cs="Arial"/>
        </w:rPr>
      </w:pPr>
    </w:p>
    <w:p w14:paraId="032BFD4F" w14:textId="2D982706" w:rsidR="008A083B" w:rsidRPr="00F61F1B" w:rsidRDefault="008A083B" w:rsidP="00F61F1B">
      <w:pPr>
        <w:spacing w:after="0" w:line="300" w:lineRule="exact"/>
        <w:rPr>
          <w:rFonts w:ascii="Arial" w:hAnsi="Arial" w:cs="Arial"/>
        </w:rPr>
      </w:pPr>
      <w:r w:rsidRPr="00F61F1B">
        <w:rPr>
          <w:rFonts w:ascii="Arial" w:hAnsi="Arial" w:cs="Arial"/>
        </w:rPr>
        <w:t xml:space="preserve">The second </w:t>
      </w:r>
      <w:proofErr w:type="gramStart"/>
      <w:r w:rsidRPr="00F61F1B">
        <w:rPr>
          <w:rFonts w:ascii="Arial" w:hAnsi="Arial" w:cs="Arial"/>
        </w:rPr>
        <w:t>case</w:t>
      </w:r>
      <w:r w:rsidRPr="00F61F1B">
        <w:rPr>
          <w:rFonts w:ascii="Arial" w:hAnsi="Arial" w:cs="Arial"/>
          <w:color w:val="392B7D"/>
        </w:rPr>
        <w:t>[</w:t>
      </w:r>
      <w:proofErr w:type="gramEnd"/>
      <w:r w:rsidRPr="00F61F1B">
        <w:rPr>
          <w:rStyle w:val="EndnoteReference"/>
          <w:rFonts w:ascii="Arial" w:hAnsi="Arial" w:cs="Arial"/>
          <w:color w:val="392B7D"/>
          <w:vertAlign w:val="baseline"/>
        </w:rPr>
        <w:endnoteReference w:id="26"/>
      </w:r>
      <w:r w:rsidRPr="00F61F1B">
        <w:rPr>
          <w:rFonts w:ascii="Arial" w:hAnsi="Arial" w:cs="Arial"/>
          <w:color w:val="392B7D"/>
        </w:rPr>
        <w:t>]</w:t>
      </w:r>
      <w:r w:rsidRPr="00F61F1B">
        <w:rPr>
          <w:rFonts w:ascii="Arial" w:hAnsi="Arial" w:cs="Arial"/>
        </w:rPr>
        <w:t xml:space="preserve"> involved an issue of statutory interpretation.</w:t>
      </w:r>
      <w:r w:rsidR="004E5B8B">
        <w:rPr>
          <w:rFonts w:ascii="Arial" w:hAnsi="Arial" w:cs="Arial"/>
        </w:rPr>
        <w:t xml:space="preserve"> </w:t>
      </w:r>
      <w:r w:rsidRPr="00F61F1B">
        <w:rPr>
          <w:rFonts w:ascii="Arial" w:hAnsi="Arial" w:cs="Arial"/>
        </w:rPr>
        <w:t>Under federal legislation a registered sex offender who moves interstate must give notice of the change to at least one of the jurisdictions involved.</w:t>
      </w:r>
      <w:r w:rsidR="004E5B8B">
        <w:rPr>
          <w:rFonts w:ascii="Arial" w:hAnsi="Arial" w:cs="Arial"/>
        </w:rPr>
        <w:t xml:space="preserve"> </w:t>
      </w:r>
      <w:r w:rsidRPr="00F61F1B">
        <w:rPr>
          <w:rFonts w:ascii="Arial" w:hAnsi="Arial" w:cs="Arial"/>
        </w:rPr>
        <w:t>A “jurisdiction” was relevantly defined as one “where the offender resides”.</w:t>
      </w:r>
      <w:r w:rsidR="004E5B8B">
        <w:rPr>
          <w:rFonts w:ascii="Arial" w:hAnsi="Arial" w:cs="Arial"/>
        </w:rPr>
        <w:t xml:space="preserve"> </w:t>
      </w:r>
      <w:r w:rsidR="003B5060">
        <w:rPr>
          <w:rFonts w:ascii="Arial" w:hAnsi="Arial" w:cs="Arial"/>
        </w:rPr>
        <w:t xml:space="preserve">The Court held that a sex offender who moved from Kansas to the </w:t>
      </w:r>
      <w:r w:rsidR="007D6BCA">
        <w:rPr>
          <w:rFonts w:ascii="Arial" w:hAnsi="Arial" w:cs="Arial"/>
        </w:rPr>
        <w:t>Philippines</w:t>
      </w:r>
      <w:r w:rsidR="00C0602C">
        <w:rPr>
          <w:rFonts w:ascii="Arial" w:hAnsi="Arial" w:cs="Arial"/>
        </w:rPr>
        <w:t xml:space="preserve"> </w:t>
      </w:r>
      <w:r w:rsidR="003B5060">
        <w:rPr>
          <w:rFonts w:ascii="Arial" w:hAnsi="Arial" w:cs="Arial"/>
        </w:rPr>
        <w:t>without giving notice of the change had not committed any offence against that legislation.</w:t>
      </w:r>
      <w:r w:rsidR="004E5B8B">
        <w:rPr>
          <w:rFonts w:ascii="Arial" w:hAnsi="Arial" w:cs="Arial"/>
        </w:rPr>
        <w:t xml:space="preserve"> </w:t>
      </w:r>
      <w:r w:rsidR="003B5060">
        <w:rPr>
          <w:rFonts w:ascii="Arial" w:hAnsi="Arial" w:cs="Arial"/>
        </w:rPr>
        <w:t xml:space="preserve">The </w:t>
      </w:r>
      <w:r w:rsidR="007D6BCA">
        <w:rPr>
          <w:rFonts w:ascii="Arial" w:hAnsi="Arial" w:cs="Arial"/>
        </w:rPr>
        <w:t>Philippines</w:t>
      </w:r>
      <w:r w:rsidR="00C0602C" w:rsidRPr="00F61F1B">
        <w:rPr>
          <w:rFonts w:ascii="Arial" w:hAnsi="Arial" w:cs="Arial"/>
        </w:rPr>
        <w:t xml:space="preserve"> </w:t>
      </w:r>
      <w:r w:rsidRPr="00F61F1B">
        <w:rPr>
          <w:rFonts w:ascii="Arial" w:hAnsi="Arial" w:cs="Arial"/>
        </w:rPr>
        <w:t xml:space="preserve">was not a relevant jurisdiction because “no foreign country is”; and Kansas was no longer a jurisdiction “where the offender </w:t>
      </w:r>
      <w:r w:rsidRPr="00F61F1B">
        <w:rPr>
          <w:rFonts w:ascii="Arial" w:hAnsi="Arial" w:cs="Arial"/>
          <w:i/>
        </w:rPr>
        <w:t>resides</w:t>
      </w:r>
      <w:r w:rsidRPr="00F61F1B">
        <w:rPr>
          <w:rFonts w:ascii="Arial" w:hAnsi="Arial" w:cs="Arial"/>
        </w:rPr>
        <w:t>”.</w:t>
      </w:r>
      <w:r w:rsidR="004E5B8B">
        <w:rPr>
          <w:rFonts w:ascii="Arial" w:hAnsi="Arial" w:cs="Arial"/>
        </w:rPr>
        <w:t xml:space="preserve"> </w:t>
      </w:r>
      <w:r w:rsidRPr="00F61F1B">
        <w:rPr>
          <w:rFonts w:ascii="Arial" w:hAnsi="Arial" w:cs="Arial"/>
        </w:rPr>
        <w:t>The fact that the word “resides” was expressed in the present tense was conclusive.</w:t>
      </w:r>
      <w:r w:rsidR="004E5B8B">
        <w:rPr>
          <w:rFonts w:ascii="Arial" w:hAnsi="Arial" w:cs="Arial"/>
        </w:rPr>
        <w:t xml:space="preserve"> </w:t>
      </w:r>
      <w:r w:rsidR="003B5060">
        <w:rPr>
          <w:rFonts w:ascii="Arial" w:hAnsi="Arial" w:cs="Arial"/>
        </w:rPr>
        <w:t>(</w:t>
      </w:r>
      <w:r w:rsidRPr="00F61F1B">
        <w:rPr>
          <w:rFonts w:ascii="Arial" w:hAnsi="Arial" w:cs="Arial"/>
        </w:rPr>
        <w:t xml:space="preserve">The Court stressed, however, that under new federal legislation </w:t>
      </w:r>
      <w:r w:rsidR="003B5060">
        <w:rPr>
          <w:rFonts w:ascii="Arial" w:hAnsi="Arial" w:cs="Arial"/>
        </w:rPr>
        <w:t xml:space="preserve">– </w:t>
      </w:r>
      <w:r w:rsidRPr="00F61F1B">
        <w:rPr>
          <w:rFonts w:ascii="Arial" w:hAnsi="Arial" w:cs="Arial"/>
        </w:rPr>
        <w:t xml:space="preserve">and even under existing State legislation, including that </w:t>
      </w:r>
      <w:r w:rsidRPr="00F61F1B">
        <w:rPr>
          <w:rFonts w:ascii="Arial" w:hAnsi="Arial" w:cs="Arial"/>
        </w:rPr>
        <w:lastRenderedPageBreak/>
        <w:t>of Kansas)</w:t>
      </w:r>
      <w:r w:rsidR="003B5060" w:rsidRPr="00F61F1B">
        <w:rPr>
          <w:rFonts w:ascii="Arial" w:hAnsi="Arial" w:cs="Arial"/>
          <w:color w:val="392B7D"/>
        </w:rPr>
        <w:t xml:space="preserve"> </w:t>
      </w:r>
      <w:r w:rsidRPr="00F61F1B">
        <w:rPr>
          <w:rFonts w:ascii="Arial" w:hAnsi="Arial" w:cs="Arial"/>
          <w:color w:val="392B7D"/>
        </w:rPr>
        <w:t>[</w:t>
      </w:r>
      <w:r w:rsidRPr="00F61F1B">
        <w:rPr>
          <w:rStyle w:val="EndnoteReference"/>
          <w:rFonts w:ascii="Arial" w:hAnsi="Arial" w:cs="Arial"/>
          <w:color w:val="392B7D"/>
          <w:vertAlign w:val="baseline"/>
        </w:rPr>
        <w:endnoteReference w:id="27"/>
      </w:r>
      <w:r w:rsidRPr="00F61F1B">
        <w:rPr>
          <w:rFonts w:ascii="Arial" w:hAnsi="Arial" w:cs="Arial"/>
          <w:color w:val="392B7D"/>
        </w:rPr>
        <w:t>]</w:t>
      </w:r>
      <w:r w:rsidRPr="00F61F1B">
        <w:rPr>
          <w:rFonts w:ascii="Arial" w:hAnsi="Arial" w:cs="Arial"/>
        </w:rPr>
        <w:t xml:space="preserve"> </w:t>
      </w:r>
      <w:r w:rsidR="003B5060">
        <w:rPr>
          <w:rFonts w:ascii="Arial" w:hAnsi="Arial" w:cs="Arial"/>
        </w:rPr>
        <w:t xml:space="preserve">– </w:t>
      </w:r>
      <w:r w:rsidRPr="00F61F1B">
        <w:rPr>
          <w:rFonts w:ascii="Arial" w:hAnsi="Arial" w:cs="Arial"/>
        </w:rPr>
        <w:t>such cases could be more effectively policed in the future, so that the result had no real significance apart from the instant case.</w:t>
      </w:r>
      <w:r w:rsidR="003B5060">
        <w:rPr>
          <w:rFonts w:ascii="Arial" w:hAnsi="Arial" w:cs="Arial"/>
        </w:rPr>
        <w:t>)</w:t>
      </w:r>
    </w:p>
    <w:p w14:paraId="49A179C5" w14:textId="77777777" w:rsidR="008A083B" w:rsidRPr="00F61F1B" w:rsidRDefault="008A083B" w:rsidP="00F61F1B">
      <w:pPr>
        <w:spacing w:after="0" w:line="300" w:lineRule="exact"/>
        <w:rPr>
          <w:rFonts w:ascii="Arial" w:hAnsi="Arial" w:cs="Arial"/>
        </w:rPr>
      </w:pPr>
    </w:p>
    <w:p w14:paraId="52C94BA4" w14:textId="14C6A864" w:rsidR="008C41BA" w:rsidRPr="00F61F1B" w:rsidRDefault="008A083B" w:rsidP="00F61F1B">
      <w:pPr>
        <w:spacing w:after="0" w:line="300" w:lineRule="exact"/>
        <w:rPr>
          <w:rFonts w:ascii="Arial" w:hAnsi="Arial" w:cs="Arial"/>
        </w:rPr>
      </w:pPr>
      <w:r w:rsidRPr="00F61F1B">
        <w:rPr>
          <w:rFonts w:ascii="Arial" w:hAnsi="Arial" w:cs="Arial"/>
        </w:rPr>
        <w:t xml:space="preserve">By contrast, the significance of the remaining </w:t>
      </w:r>
      <w:proofErr w:type="gramStart"/>
      <w:r w:rsidRPr="00F61F1B">
        <w:rPr>
          <w:rFonts w:ascii="Arial" w:hAnsi="Arial" w:cs="Arial"/>
        </w:rPr>
        <w:t>case</w:t>
      </w:r>
      <w:r w:rsidR="008C41BA" w:rsidRPr="00F61F1B">
        <w:rPr>
          <w:rFonts w:ascii="Arial" w:hAnsi="Arial" w:cs="Arial"/>
          <w:color w:val="392B7D"/>
        </w:rPr>
        <w:t>[</w:t>
      </w:r>
      <w:proofErr w:type="gramEnd"/>
      <w:r w:rsidRPr="00F61F1B">
        <w:rPr>
          <w:rStyle w:val="EndnoteReference"/>
          <w:rFonts w:ascii="Arial" w:hAnsi="Arial" w:cs="Arial"/>
          <w:color w:val="392B7D"/>
          <w:vertAlign w:val="baseline"/>
        </w:rPr>
        <w:endnoteReference w:id="28"/>
      </w:r>
      <w:r w:rsidR="008C41BA" w:rsidRPr="00F61F1B">
        <w:rPr>
          <w:rFonts w:ascii="Arial" w:hAnsi="Arial" w:cs="Arial"/>
          <w:color w:val="392B7D"/>
        </w:rPr>
        <w:t>]</w:t>
      </w:r>
      <w:r w:rsidR="008C41BA" w:rsidRPr="00F61F1B">
        <w:rPr>
          <w:rFonts w:ascii="Arial" w:hAnsi="Arial" w:cs="Arial"/>
        </w:rPr>
        <w:t xml:space="preserve"> was potentially momentous, turning as it did on a reconsideration of the great cases of 1964</w:t>
      </w:r>
      <w:r w:rsidR="008C41BA" w:rsidRPr="00F61F1B">
        <w:rPr>
          <w:rFonts w:ascii="Arial" w:hAnsi="Arial" w:cs="Arial"/>
          <w:color w:val="392B7D"/>
        </w:rPr>
        <w:t>[</w:t>
      </w:r>
      <w:bookmarkStart w:id="4" w:name="_GoBack"/>
      <w:bookmarkEnd w:id="4"/>
      <w:r w:rsidR="008C41BA" w:rsidRPr="00F61F1B">
        <w:rPr>
          <w:rStyle w:val="EndnoteReference"/>
          <w:rFonts w:ascii="Arial" w:hAnsi="Arial" w:cs="Arial"/>
          <w:color w:val="392B7D"/>
          <w:vertAlign w:val="baseline"/>
        </w:rPr>
        <w:endnoteReference w:id="29"/>
      </w:r>
      <w:r w:rsidR="008C41BA" w:rsidRPr="00F61F1B">
        <w:rPr>
          <w:rFonts w:ascii="Arial" w:hAnsi="Arial" w:cs="Arial"/>
          <w:color w:val="392B7D"/>
        </w:rPr>
        <w:t>]</w:t>
      </w:r>
      <w:r w:rsidR="008C41BA" w:rsidRPr="00F61F1B">
        <w:rPr>
          <w:rFonts w:ascii="Arial" w:hAnsi="Arial" w:cs="Arial"/>
        </w:rPr>
        <w:t xml:space="preserve"> establishing the principle of “one person, one vote”, with its corollary requiring electoral districts approximately equal in numbers.</w:t>
      </w:r>
      <w:r w:rsidR="004E5B8B">
        <w:rPr>
          <w:rFonts w:ascii="Arial" w:hAnsi="Arial" w:cs="Arial"/>
        </w:rPr>
        <w:t xml:space="preserve"> </w:t>
      </w:r>
      <w:r w:rsidR="008C41BA" w:rsidRPr="00F61F1B">
        <w:rPr>
          <w:rFonts w:ascii="Arial" w:hAnsi="Arial" w:cs="Arial"/>
        </w:rPr>
        <w:t>When Justice Lionel Murphy (in sole dissent) argued in 1975 that the same principle should apply in Australia, he explained it as “having as the standard of equality the alternatives of equal numbers of people and equal numbers of electors”</w:t>
      </w:r>
      <w:proofErr w:type="gramStart"/>
      <w:r w:rsidR="008C41BA" w:rsidRPr="00F61F1B">
        <w:rPr>
          <w:rFonts w:ascii="Arial" w:hAnsi="Arial" w:cs="Arial"/>
        </w:rPr>
        <w:t>.</w:t>
      </w:r>
      <w:r w:rsidR="008C41BA" w:rsidRPr="00F61F1B">
        <w:rPr>
          <w:rFonts w:ascii="Arial" w:hAnsi="Arial" w:cs="Arial"/>
          <w:color w:val="392B7D"/>
        </w:rPr>
        <w:t>[</w:t>
      </w:r>
      <w:proofErr w:type="gramEnd"/>
      <w:r w:rsidR="008C41BA" w:rsidRPr="00F61F1B">
        <w:rPr>
          <w:rStyle w:val="EndnoteReference"/>
          <w:rFonts w:ascii="Arial" w:hAnsi="Arial" w:cs="Arial"/>
          <w:color w:val="392B7D"/>
          <w:vertAlign w:val="baseline"/>
        </w:rPr>
        <w:endnoteReference w:id="30"/>
      </w:r>
      <w:r w:rsidR="008C41BA" w:rsidRPr="00F61F1B">
        <w:rPr>
          <w:rFonts w:ascii="Arial" w:hAnsi="Arial" w:cs="Arial"/>
          <w:color w:val="392B7D"/>
        </w:rPr>
        <w:t>]</w:t>
      </w:r>
      <w:r w:rsidR="004E5B8B">
        <w:rPr>
          <w:rFonts w:ascii="Arial" w:hAnsi="Arial" w:cs="Arial"/>
        </w:rPr>
        <w:t xml:space="preserve"> </w:t>
      </w:r>
      <w:r w:rsidR="008C41BA" w:rsidRPr="00F61F1B">
        <w:rPr>
          <w:rFonts w:ascii="Arial" w:hAnsi="Arial" w:cs="Arial"/>
        </w:rPr>
        <w:t>The American cases have never really resolved the choice between those alternatives, but this latest case had the potential to do so.</w:t>
      </w:r>
      <w:r w:rsidR="004E5B8B">
        <w:rPr>
          <w:rFonts w:ascii="Arial" w:hAnsi="Arial" w:cs="Arial"/>
        </w:rPr>
        <w:t xml:space="preserve"> </w:t>
      </w:r>
      <w:r w:rsidR="008C41BA" w:rsidRPr="00F61F1B">
        <w:rPr>
          <w:rFonts w:ascii="Arial" w:hAnsi="Arial" w:cs="Arial"/>
        </w:rPr>
        <w:t xml:space="preserve">In the end nothing much happened (though in the current state of American politics, the </w:t>
      </w:r>
      <w:r w:rsidR="003B5060">
        <w:rPr>
          <w:rFonts w:ascii="Arial" w:hAnsi="Arial" w:cs="Arial"/>
        </w:rPr>
        <w:t>near-</w:t>
      </w:r>
      <w:r w:rsidR="004D7D44" w:rsidRPr="00F61F1B">
        <w:rPr>
          <w:rFonts w:ascii="Arial" w:hAnsi="Arial" w:cs="Arial"/>
        </w:rPr>
        <w:t>unanimity</w:t>
      </w:r>
      <w:r w:rsidR="008C41BA" w:rsidRPr="00F61F1B">
        <w:rPr>
          <w:rFonts w:ascii="Arial" w:hAnsi="Arial" w:cs="Arial"/>
        </w:rPr>
        <w:t xml:space="preserve"> </w:t>
      </w:r>
      <w:r w:rsidR="004D7D44" w:rsidRPr="00F61F1B">
        <w:rPr>
          <w:rFonts w:ascii="Arial" w:hAnsi="Arial" w:cs="Arial"/>
        </w:rPr>
        <w:t>displayed in</w:t>
      </w:r>
      <w:r w:rsidR="008C41BA" w:rsidRPr="00F61F1B">
        <w:rPr>
          <w:rFonts w:ascii="Arial" w:hAnsi="Arial" w:cs="Arial"/>
        </w:rPr>
        <w:t xml:space="preserve"> reaffirmation of the relevant precedents </w:t>
      </w:r>
      <w:r w:rsidR="004D7D44" w:rsidRPr="00F61F1B">
        <w:rPr>
          <w:rFonts w:ascii="Arial" w:hAnsi="Arial" w:cs="Arial"/>
        </w:rPr>
        <w:t>may</w:t>
      </w:r>
      <w:r w:rsidR="008C41BA" w:rsidRPr="00F61F1B">
        <w:rPr>
          <w:rFonts w:ascii="Arial" w:hAnsi="Arial" w:cs="Arial"/>
        </w:rPr>
        <w:t xml:space="preserve"> itself </w:t>
      </w:r>
      <w:r w:rsidR="004D7D44" w:rsidRPr="00F61F1B">
        <w:rPr>
          <w:rFonts w:ascii="Arial" w:hAnsi="Arial" w:cs="Arial"/>
        </w:rPr>
        <w:t xml:space="preserve">be </w:t>
      </w:r>
      <w:r w:rsidR="008C41BA" w:rsidRPr="00F61F1B">
        <w:rPr>
          <w:rFonts w:ascii="Arial" w:hAnsi="Arial" w:cs="Arial"/>
        </w:rPr>
        <w:t>highly significant).</w:t>
      </w:r>
    </w:p>
    <w:p w14:paraId="0F67B197" w14:textId="77777777" w:rsidR="008C41BA" w:rsidRPr="00F61F1B" w:rsidRDefault="008C41BA" w:rsidP="00F61F1B">
      <w:pPr>
        <w:spacing w:after="0" w:line="300" w:lineRule="exact"/>
        <w:rPr>
          <w:rFonts w:ascii="Arial" w:hAnsi="Arial" w:cs="Arial"/>
        </w:rPr>
      </w:pPr>
    </w:p>
    <w:p w14:paraId="1814AD9F" w14:textId="5DD4B84D" w:rsidR="00067009" w:rsidRPr="00F61F1B" w:rsidRDefault="008C41BA" w:rsidP="00F61F1B">
      <w:pPr>
        <w:spacing w:after="0" w:line="300" w:lineRule="exact"/>
        <w:rPr>
          <w:rFonts w:ascii="Arial" w:hAnsi="Arial" w:cs="Arial"/>
        </w:rPr>
      </w:pPr>
      <w:r w:rsidRPr="00F61F1B">
        <w:rPr>
          <w:rFonts w:ascii="Arial" w:hAnsi="Arial" w:cs="Arial"/>
        </w:rPr>
        <w:t xml:space="preserve">The whole Court reaffirmed that </w:t>
      </w:r>
      <w:r w:rsidR="004D7D44" w:rsidRPr="00F61F1B">
        <w:rPr>
          <w:rFonts w:ascii="Arial" w:hAnsi="Arial" w:cs="Arial"/>
        </w:rPr>
        <w:t xml:space="preserve">an </w:t>
      </w:r>
      <w:r w:rsidRPr="00F61F1B">
        <w:rPr>
          <w:rFonts w:ascii="Arial" w:hAnsi="Arial" w:cs="Arial"/>
        </w:rPr>
        <w:t>electoral distribution</w:t>
      </w:r>
      <w:r w:rsidR="004D7D44" w:rsidRPr="00F61F1B">
        <w:rPr>
          <w:rFonts w:ascii="Arial" w:hAnsi="Arial" w:cs="Arial"/>
        </w:rPr>
        <w:t xml:space="preserve"> in Texas,</w:t>
      </w:r>
      <w:r w:rsidRPr="00F61F1B">
        <w:rPr>
          <w:rFonts w:ascii="Arial" w:hAnsi="Arial" w:cs="Arial"/>
        </w:rPr>
        <w:t xml:space="preserve"> based on approximate equality of population numbers</w:t>
      </w:r>
      <w:r w:rsidR="004D7D44" w:rsidRPr="00F61F1B">
        <w:rPr>
          <w:rFonts w:ascii="Arial" w:hAnsi="Arial" w:cs="Arial"/>
        </w:rPr>
        <w:t>,</w:t>
      </w:r>
      <w:r w:rsidRPr="00F61F1B">
        <w:rPr>
          <w:rFonts w:ascii="Arial" w:hAnsi="Arial" w:cs="Arial"/>
        </w:rPr>
        <w:t xml:space="preserve"> </w:t>
      </w:r>
      <w:r w:rsidR="004D7D44" w:rsidRPr="00F61F1B">
        <w:rPr>
          <w:rFonts w:ascii="Arial" w:hAnsi="Arial" w:cs="Arial"/>
        </w:rPr>
        <w:t>was constitutionally valid; rejected the appellant’s complaint that the distribution</w:t>
      </w:r>
      <w:r w:rsidRPr="00F61F1B">
        <w:rPr>
          <w:rFonts w:ascii="Arial" w:hAnsi="Arial" w:cs="Arial"/>
        </w:rPr>
        <w:t xml:space="preserve"> </w:t>
      </w:r>
      <w:r w:rsidR="004D7D44" w:rsidRPr="00F61F1B">
        <w:rPr>
          <w:rFonts w:ascii="Arial" w:hAnsi="Arial" w:cs="Arial"/>
        </w:rPr>
        <w:t xml:space="preserve">was rendered invalid by a wide variation in the numbers of </w:t>
      </w:r>
      <w:r w:rsidR="004D7D44" w:rsidRPr="003B5060">
        <w:rPr>
          <w:rFonts w:ascii="Arial" w:hAnsi="Arial" w:cs="Arial"/>
          <w:i/>
        </w:rPr>
        <w:t>voters</w:t>
      </w:r>
      <w:r w:rsidR="004D7D44" w:rsidRPr="00F61F1B">
        <w:rPr>
          <w:rFonts w:ascii="Arial" w:hAnsi="Arial" w:cs="Arial"/>
        </w:rPr>
        <w:t xml:space="preserve"> within each district; and</w:t>
      </w:r>
      <w:r w:rsidRPr="00F61F1B">
        <w:rPr>
          <w:rFonts w:ascii="Arial" w:hAnsi="Arial" w:cs="Arial"/>
        </w:rPr>
        <w:t xml:space="preserve"> </w:t>
      </w:r>
      <w:r w:rsidR="004D7D44" w:rsidRPr="00F61F1B">
        <w:rPr>
          <w:rFonts w:ascii="Arial" w:hAnsi="Arial" w:cs="Arial"/>
        </w:rPr>
        <w:t>declined to rule on a suggestion that the basic idea of “one person, one vote”</w:t>
      </w:r>
      <w:r w:rsidRPr="00F61F1B">
        <w:rPr>
          <w:rFonts w:ascii="Arial" w:hAnsi="Arial" w:cs="Arial"/>
        </w:rPr>
        <w:t xml:space="preserve"> might equally be satisfied by </w:t>
      </w:r>
      <w:r w:rsidR="004D7D44" w:rsidRPr="00F61F1B">
        <w:rPr>
          <w:rFonts w:ascii="Arial" w:hAnsi="Arial" w:cs="Arial"/>
        </w:rPr>
        <w:t xml:space="preserve">a distribution based on </w:t>
      </w:r>
      <w:r w:rsidRPr="00F61F1B">
        <w:rPr>
          <w:rFonts w:ascii="Arial" w:hAnsi="Arial" w:cs="Arial"/>
        </w:rPr>
        <w:t>approximate equality of voter numbers</w:t>
      </w:r>
      <w:r w:rsidR="00A17D14" w:rsidRPr="00F61F1B">
        <w:rPr>
          <w:rFonts w:ascii="Arial" w:hAnsi="Arial" w:cs="Arial"/>
        </w:rPr>
        <w:t xml:space="preserve"> (or more precisely, by reference to the numbers of persons </w:t>
      </w:r>
      <w:r w:rsidR="00A17D14" w:rsidRPr="00F61F1B">
        <w:rPr>
          <w:rFonts w:ascii="Arial" w:hAnsi="Arial" w:cs="Arial"/>
          <w:i/>
        </w:rPr>
        <w:t>eligible</w:t>
      </w:r>
      <w:r w:rsidR="00A17D14" w:rsidRPr="00F61F1B">
        <w:rPr>
          <w:rFonts w:ascii="Arial" w:hAnsi="Arial" w:cs="Arial"/>
        </w:rPr>
        <w:t xml:space="preserve"> to vote)</w:t>
      </w:r>
      <w:r w:rsidRPr="00F61F1B">
        <w:rPr>
          <w:rFonts w:ascii="Arial" w:hAnsi="Arial" w:cs="Arial"/>
        </w:rPr>
        <w:t>.</w:t>
      </w:r>
      <w:r w:rsidR="004E5B8B">
        <w:rPr>
          <w:rFonts w:ascii="Arial" w:hAnsi="Arial" w:cs="Arial"/>
        </w:rPr>
        <w:t xml:space="preserve"> </w:t>
      </w:r>
      <w:r w:rsidRPr="00F61F1B">
        <w:rPr>
          <w:rFonts w:ascii="Arial" w:hAnsi="Arial" w:cs="Arial"/>
        </w:rPr>
        <w:t>Nevertheless, it was clear that this latter issue might be divisive in the future.</w:t>
      </w:r>
    </w:p>
    <w:p w14:paraId="6C557657" w14:textId="77777777" w:rsidR="00067009" w:rsidRPr="00F61F1B" w:rsidRDefault="00067009" w:rsidP="00F61F1B">
      <w:pPr>
        <w:spacing w:after="0" w:line="300" w:lineRule="exact"/>
        <w:rPr>
          <w:rFonts w:ascii="Arial" w:hAnsi="Arial" w:cs="Arial"/>
        </w:rPr>
      </w:pPr>
    </w:p>
    <w:p w14:paraId="25A9CFAF" w14:textId="602DF0C9" w:rsidR="000B693F" w:rsidRPr="00F61F1B" w:rsidRDefault="008C41BA" w:rsidP="00F61F1B">
      <w:pPr>
        <w:spacing w:after="0" w:line="300" w:lineRule="exact"/>
        <w:rPr>
          <w:rFonts w:ascii="Arial" w:hAnsi="Arial" w:cs="Arial"/>
          <w:color w:val="000000"/>
        </w:rPr>
      </w:pPr>
      <w:r w:rsidRPr="00F61F1B">
        <w:rPr>
          <w:rFonts w:ascii="Arial" w:hAnsi="Arial" w:cs="Arial"/>
        </w:rPr>
        <w:t>The Opinion of the Court (delivered by Justice Ginsburg) argued strongly that resort to population figures rather than voting figures was a settled and well-understood practice, supported not only by precedent but by the constitutional text.</w:t>
      </w:r>
      <w:r w:rsidR="004E5B8B">
        <w:rPr>
          <w:rFonts w:ascii="Arial" w:hAnsi="Arial" w:cs="Arial"/>
        </w:rPr>
        <w:t xml:space="preserve"> </w:t>
      </w:r>
      <w:r w:rsidRPr="00F61F1B">
        <w:rPr>
          <w:rFonts w:ascii="Arial" w:hAnsi="Arial" w:cs="Arial"/>
        </w:rPr>
        <w:t xml:space="preserve">The </w:t>
      </w:r>
      <w:r w:rsidR="00A17D14" w:rsidRPr="00F61F1B">
        <w:rPr>
          <w:rFonts w:ascii="Arial" w:hAnsi="Arial" w:cs="Arial"/>
        </w:rPr>
        <w:t>claims advanced for a valid</w:t>
      </w:r>
      <w:r w:rsidRPr="00F61F1B">
        <w:rPr>
          <w:rFonts w:ascii="Arial" w:hAnsi="Arial" w:cs="Arial"/>
        </w:rPr>
        <w:t xml:space="preserve"> alternative based on voting figures could be left </w:t>
      </w:r>
      <w:r w:rsidR="00A17D14" w:rsidRPr="00F61F1B">
        <w:rPr>
          <w:rFonts w:ascii="Arial" w:hAnsi="Arial" w:cs="Arial"/>
        </w:rPr>
        <w:t>unresolved “[b</w:t>
      </w:r>
      <w:r w:rsidR="004D7D44" w:rsidRPr="00F61F1B">
        <w:rPr>
          <w:rFonts w:ascii="Arial" w:hAnsi="Arial" w:cs="Arial"/>
        </w:rPr>
        <w:t>]</w:t>
      </w:r>
      <w:proofErr w:type="spellStart"/>
      <w:r w:rsidR="00A17D14" w:rsidRPr="00F61F1B">
        <w:rPr>
          <w:rFonts w:ascii="Arial" w:hAnsi="Arial" w:cs="Arial"/>
          <w:color w:val="000000"/>
        </w:rPr>
        <w:t>ecause</w:t>
      </w:r>
      <w:proofErr w:type="spellEnd"/>
      <w:r w:rsidR="00A17D14" w:rsidRPr="00F61F1B">
        <w:rPr>
          <w:rFonts w:ascii="Arial" w:hAnsi="Arial" w:cs="Arial"/>
          <w:color w:val="000000"/>
        </w:rPr>
        <w:t xml:space="preserve"> history, precedent, and practice suffice to reveal the infirmity of [such</w:t>
      </w:r>
      <w:r w:rsidR="00262479" w:rsidRPr="00F61F1B">
        <w:rPr>
          <w:rFonts w:ascii="Arial" w:hAnsi="Arial" w:cs="Arial"/>
          <w:color w:val="000000"/>
        </w:rPr>
        <w:t>]</w:t>
      </w:r>
      <w:r w:rsidR="00A17D14" w:rsidRPr="00F61F1B">
        <w:rPr>
          <w:rFonts w:ascii="Arial" w:hAnsi="Arial" w:cs="Arial"/>
          <w:color w:val="000000"/>
        </w:rPr>
        <w:t xml:space="preserve"> claims”.</w:t>
      </w:r>
      <w:r w:rsidR="004E5B8B">
        <w:rPr>
          <w:rFonts w:ascii="Arial" w:hAnsi="Arial" w:cs="Arial"/>
          <w:color w:val="000000"/>
        </w:rPr>
        <w:t xml:space="preserve"> </w:t>
      </w:r>
      <w:r w:rsidR="00A17D14" w:rsidRPr="00F61F1B">
        <w:rPr>
          <w:rFonts w:ascii="Arial" w:hAnsi="Arial" w:cs="Arial"/>
          <w:color w:val="000000"/>
        </w:rPr>
        <w:t>By contrast, Justice Alito</w:t>
      </w:r>
      <w:r w:rsidR="000D7760">
        <w:rPr>
          <w:rFonts w:ascii="Arial" w:hAnsi="Arial" w:cs="Arial"/>
          <w:color w:val="000000"/>
        </w:rPr>
        <w:t>’s</w:t>
      </w:r>
      <w:r w:rsidR="00A17D14" w:rsidRPr="00F61F1B">
        <w:rPr>
          <w:rFonts w:ascii="Arial" w:hAnsi="Arial" w:cs="Arial"/>
          <w:color w:val="000000"/>
        </w:rPr>
        <w:t xml:space="preserve"> concurring opinion (with </w:t>
      </w:r>
      <w:r w:rsidR="00067009" w:rsidRPr="00F61F1B">
        <w:rPr>
          <w:rFonts w:ascii="Arial" w:hAnsi="Arial" w:cs="Arial"/>
          <w:color w:val="000000"/>
        </w:rPr>
        <w:t xml:space="preserve">much of </w:t>
      </w:r>
      <w:r w:rsidR="00A17D14" w:rsidRPr="00F61F1B">
        <w:rPr>
          <w:rFonts w:ascii="Arial" w:hAnsi="Arial" w:cs="Arial"/>
          <w:color w:val="000000"/>
        </w:rPr>
        <w:t>which Justice Thomas agreed) rejected the majority view of “history, precedent and practice”, and in particular dismissed the textual argument as “meretricious”.</w:t>
      </w:r>
      <w:r w:rsidR="004E5B8B">
        <w:rPr>
          <w:rFonts w:ascii="Arial" w:hAnsi="Arial" w:cs="Arial"/>
          <w:color w:val="000000"/>
        </w:rPr>
        <w:t xml:space="preserve"> </w:t>
      </w:r>
      <w:r w:rsidR="00A17D14" w:rsidRPr="00F61F1B">
        <w:rPr>
          <w:rFonts w:ascii="Arial" w:hAnsi="Arial" w:cs="Arial"/>
          <w:color w:val="000000"/>
        </w:rPr>
        <w:t xml:space="preserve">And although he agreed that the issue of reliance on numbers of </w:t>
      </w:r>
      <w:r w:rsidR="003B5060" w:rsidRPr="00F61F1B">
        <w:rPr>
          <w:rFonts w:ascii="Arial" w:hAnsi="Arial" w:cs="Arial"/>
          <w:color w:val="000000"/>
        </w:rPr>
        <w:t xml:space="preserve">eligible </w:t>
      </w:r>
      <w:r w:rsidR="00A17D14" w:rsidRPr="00F61F1B">
        <w:rPr>
          <w:rFonts w:ascii="Arial" w:hAnsi="Arial" w:cs="Arial"/>
          <w:color w:val="000000"/>
        </w:rPr>
        <w:t>voters could be left to another day, he did so only because it would be more convenient to wait until a specific example of such an approach was presented for judicial appraisal</w:t>
      </w:r>
      <w:r w:rsidR="001C4247" w:rsidRPr="00F61F1B">
        <w:rPr>
          <w:rFonts w:ascii="Arial" w:hAnsi="Arial" w:cs="Arial"/>
          <w:color w:val="000000"/>
        </w:rPr>
        <w:t>:</w:t>
      </w:r>
    </w:p>
    <w:p w14:paraId="7E912B96" w14:textId="77777777" w:rsidR="001C4247" w:rsidRPr="00F61F1B" w:rsidRDefault="001C4247" w:rsidP="00F61F1B">
      <w:pPr>
        <w:spacing w:after="0" w:line="300" w:lineRule="exact"/>
        <w:rPr>
          <w:rFonts w:ascii="Arial" w:hAnsi="Arial" w:cs="Arial"/>
          <w:color w:val="000000"/>
        </w:rPr>
      </w:pPr>
    </w:p>
    <w:p w14:paraId="2242107B" w14:textId="77777777" w:rsidR="001C4247" w:rsidRPr="00F61F1B" w:rsidRDefault="001C4247" w:rsidP="00F61F1B">
      <w:pPr>
        <w:spacing w:after="0" w:line="300" w:lineRule="exact"/>
        <w:ind w:left="357"/>
        <w:rPr>
          <w:rFonts w:ascii="Arial" w:hAnsi="Arial" w:cs="Arial"/>
          <w:color w:val="000000"/>
        </w:rPr>
      </w:pPr>
      <w:r w:rsidRPr="00F61F1B">
        <w:rPr>
          <w:rFonts w:ascii="Arial" w:hAnsi="Arial" w:cs="Arial"/>
          <w:color w:val="000000"/>
        </w:rPr>
        <w:t>Whether a State is permitted to use some measure other than total population is an important and sensitive question that we can consider if and when we have before us a state districting plan that, unlike the current Texas plan, uses something other than total population as the basis for equalizing the size of districts.</w:t>
      </w:r>
    </w:p>
    <w:p w14:paraId="5B7F033E" w14:textId="77777777" w:rsidR="00A17D14" w:rsidRPr="00F61F1B" w:rsidRDefault="00A17D14" w:rsidP="00F61F1B">
      <w:pPr>
        <w:spacing w:after="0" w:line="300" w:lineRule="exact"/>
        <w:rPr>
          <w:rFonts w:ascii="Arial" w:hAnsi="Arial" w:cs="Arial"/>
        </w:rPr>
      </w:pPr>
    </w:p>
    <w:p w14:paraId="32AC4315" w14:textId="28E6A6CF" w:rsidR="00B60CD6" w:rsidRPr="00F61F1B" w:rsidRDefault="00B60CD6" w:rsidP="00F61F1B">
      <w:pPr>
        <w:spacing w:after="0" w:line="300" w:lineRule="exact"/>
        <w:rPr>
          <w:rFonts w:ascii="Arial" w:hAnsi="Arial" w:cs="Arial"/>
        </w:rPr>
      </w:pPr>
      <w:r w:rsidRPr="00F61F1B">
        <w:rPr>
          <w:rFonts w:ascii="Arial" w:hAnsi="Arial" w:cs="Arial"/>
        </w:rPr>
        <w:t>As for Justice Thomas, while he too concurred in the actual result, he emphasised his determination to “concur only in the judgment”.</w:t>
      </w:r>
      <w:r w:rsidR="004E5B8B">
        <w:rPr>
          <w:rFonts w:ascii="Arial" w:hAnsi="Arial" w:cs="Arial"/>
        </w:rPr>
        <w:t xml:space="preserve"> </w:t>
      </w:r>
      <w:r w:rsidR="00B76407" w:rsidRPr="00F61F1B">
        <w:rPr>
          <w:rFonts w:ascii="Arial" w:hAnsi="Arial" w:cs="Arial"/>
        </w:rPr>
        <w:t>In his view</w:t>
      </w:r>
      <w:r w:rsidRPr="00F61F1B">
        <w:rPr>
          <w:rFonts w:ascii="Arial" w:hAnsi="Arial" w:cs="Arial"/>
        </w:rPr>
        <w:t xml:space="preserve"> </w:t>
      </w:r>
      <w:r w:rsidR="00067009" w:rsidRPr="00F61F1B">
        <w:rPr>
          <w:rFonts w:ascii="Arial" w:hAnsi="Arial" w:cs="Arial"/>
        </w:rPr>
        <w:t>any</w:t>
      </w:r>
      <w:r w:rsidRPr="00F61F1B">
        <w:rPr>
          <w:rFonts w:ascii="Arial" w:hAnsi="Arial" w:cs="Arial"/>
        </w:rPr>
        <w:t xml:space="preserve"> attempt to define a “best” electoral system was inherently misguided</w:t>
      </w:r>
      <w:r w:rsidR="00B76407" w:rsidRPr="00F61F1B">
        <w:rPr>
          <w:rFonts w:ascii="Arial" w:hAnsi="Arial" w:cs="Arial"/>
        </w:rPr>
        <w:t xml:space="preserve">; </w:t>
      </w:r>
      <w:r w:rsidRPr="00F61F1B">
        <w:rPr>
          <w:rFonts w:ascii="Arial" w:hAnsi="Arial" w:cs="Arial"/>
        </w:rPr>
        <w:t>the Court ha</w:t>
      </w:r>
      <w:r w:rsidR="00B76407" w:rsidRPr="00F61F1B">
        <w:rPr>
          <w:rFonts w:ascii="Arial" w:hAnsi="Arial" w:cs="Arial"/>
        </w:rPr>
        <w:t>d</w:t>
      </w:r>
      <w:r w:rsidRPr="00F61F1B">
        <w:rPr>
          <w:rFonts w:ascii="Arial" w:hAnsi="Arial" w:cs="Arial"/>
        </w:rPr>
        <w:t xml:space="preserve"> been </w:t>
      </w:r>
      <w:r w:rsidR="00B76407" w:rsidRPr="00F61F1B">
        <w:rPr>
          <w:rFonts w:ascii="Arial" w:hAnsi="Arial" w:cs="Arial"/>
        </w:rPr>
        <w:t>“</w:t>
      </w:r>
      <w:r w:rsidRPr="00F61F1B">
        <w:rPr>
          <w:rFonts w:ascii="Arial" w:hAnsi="Arial" w:cs="Arial"/>
        </w:rPr>
        <w:t xml:space="preserve">wrong to entangle itself with the political process”, and </w:t>
      </w:r>
      <w:r w:rsidR="00067009" w:rsidRPr="00F61F1B">
        <w:rPr>
          <w:rFonts w:ascii="Arial" w:hAnsi="Arial" w:cs="Arial"/>
        </w:rPr>
        <w:t xml:space="preserve">should withdraw from </w:t>
      </w:r>
      <w:r w:rsidRPr="00F61F1B">
        <w:rPr>
          <w:rFonts w:ascii="Arial" w:hAnsi="Arial" w:cs="Arial"/>
        </w:rPr>
        <w:t xml:space="preserve">the </w:t>
      </w:r>
      <w:r w:rsidR="00067009" w:rsidRPr="00F61F1B">
        <w:rPr>
          <w:rFonts w:ascii="Arial" w:hAnsi="Arial" w:cs="Arial"/>
        </w:rPr>
        <w:t>field altogether.</w:t>
      </w:r>
    </w:p>
    <w:p w14:paraId="15964324" w14:textId="77777777" w:rsidR="00067009" w:rsidRPr="00F61F1B" w:rsidRDefault="00067009" w:rsidP="00F61F1B">
      <w:pPr>
        <w:spacing w:after="0" w:line="300" w:lineRule="exact"/>
        <w:rPr>
          <w:rFonts w:ascii="Arial" w:hAnsi="Arial" w:cs="Arial"/>
        </w:rPr>
      </w:pPr>
    </w:p>
    <w:p w14:paraId="409A6CA2" w14:textId="10835116" w:rsidR="00067009" w:rsidRPr="00F61F1B" w:rsidRDefault="00EB4BD2" w:rsidP="00F61F1B">
      <w:pPr>
        <w:spacing w:after="0" w:line="300" w:lineRule="exact"/>
        <w:rPr>
          <w:rFonts w:ascii="Arial" w:hAnsi="Arial" w:cs="Arial"/>
        </w:rPr>
      </w:pPr>
      <w:r w:rsidRPr="00F61F1B">
        <w:rPr>
          <w:rFonts w:ascii="Arial" w:hAnsi="Arial" w:cs="Arial"/>
        </w:rPr>
        <w:t xml:space="preserve">What </w:t>
      </w:r>
      <w:r w:rsidR="003B5060">
        <w:rPr>
          <w:rFonts w:ascii="Arial" w:hAnsi="Arial" w:cs="Arial"/>
        </w:rPr>
        <w:t xml:space="preserve">Justice </w:t>
      </w:r>
      <w:r w:rsidRPr="00F61F1B">
        <w:rPr>
          <w:rFonts w:ascii="Arial" w:hAnsi="Arial" w:cs="Arial"/>
        </w:rPr>
        <w:t>Scalia would have thought, we cannot say.</w:t>
      </w:r>
      <w:r w:rsidR="004E5B8B">
        <w:rPr>
          <w:rFonts w:ascii="Arial" w:hAnsi="Arial" w:cs="Arial"/>
        </w:rPr>
        <w:t xml:space="preserve"> </w:t>
      </w:r>
      <w:r w:rsidRPr="00F61F1B">
        <w:rPr>
          <w:rFonts w:ascii="Arial" w:hAnsi="Arial" w:cs="Arial"/>
        </w:rPr>
        <w:t>When the case was argued back in December,</w:t>
      </w:r>
      <w:r w:rsidR="003B5060">
        <w:rPr>
          <w:rFonts w:ascii="Arial" w:hAnsi="Arial" w:cs="Arial"/>
        </w:rPr>
        <w:t xml:space="preserve"> </w:t>
      </w:r>
      <w:r w:rsidRPr="00F61F1B">
        <w:rPr>
          <w:rFonts w:ascii="Arial" w:hAnsi="Arial" w:cs="Arial"/>
        </w:rPr>
        <w:t>he had remained uncharacteristically silent throughout.</w:t>
      </w:r>
    </w:p>
    <w:p w14:paraId="7F46514C" w14:textId="77777777" w:rsidR="00EB4BD2" w:rsidRPr="00F61F1B" w:rsidRDefault="00EB4BD2" w:rsidP="00F61F1B">
      <w:pPr>
        <w:spacing w:after="0" w:line="300" w:lineRule="exact"/>
        <w:rPr>
          <w:rFonts w:ascii="Arial" w:hAnsi="Arial" w:cs="Arial"/>
        </w:rPr>
      </w:pPr>
    </w:p>
    <w:p w14:paraId="47A9D7A1" w14:textId="0D87BF6B" w:rsidR="00A14C37" w:rsidRPr="00F61F1B" w:rsidRDefault="00EB4BD2" w:rsidP="00F61F1B">
      <w:pPr>
        <w:spacing w:after="0" w:line="300" w:lineRule="exact"/>
        <w:rPr>
          <w:rFonts w:ascii="Arial" w:hAnsi="Arial" w:cs="Arial"/>
        </w:rPr>
      </w:pPr>
      <w:r w:rsidRPr="00F61F1B">
        <w:rPr>
          <w:rFonts w:ascii="Arial" w:hAnsi="Arial" w:cs="Arial"/>
        </w:rPr>
        <w:lastRenderedPageBreak/>
        <w:t>Clearly there were unresolved issues here which the unanimity of the actual result did little to conceal.</w:t>
      </w:r>
      <w:r w:rsidR="004E5B8B">
        <w:rPr>
          <w:rFonts w:ascii="Arial" w:hAnsi="Arial" w:cs="Arial"/>
        </w:rPr>
        <w:t xml:space="preserve"> </w:t>
      </w:r>
      <w:r w:rsidRPr="00F61F1B">
        <w:rPr>
          <w:rFonts w:ascii="Arial" w:hAnsi="Arial" w:cs="Arial"/>
        </w:rPr>
        <w:t xml:space="preserve">But part of that unanimity was a genuine consensus, </w:t>
      </w:r>
      <w:r w:rsidR="000D7760">
        <w:rPr>
          <w:rFonts w:ascii="Arial" w:hAnsi="Arial" w:cs="Arial"/>
        </w:rPr>
        <w:t>in relation to</w:t>
      </w:r>
      <w:r w:rsidRPr="00F61F1B">
        <w:rPr>
          <w:rFonts w:ascii="Arial" w:hAnsi="Arial" w:cs="Arial"/>
        </w:rPr>
        <w:t xml:space="preserve"> the issue of a distribution </w:t>
      </w:r>
      <w:r w:rsidR="00163A27">
        <w:rPr>
          <w:rFonts w:ascii="Arial" w:hAnsi="Arial" w:cs="Arial"/>
        </w:rPr>
        <w:t>using</w:t>
      </w:r>
      <w:r w:rsidRPr="00F61F1B">
        <w:rPr>
          <w:rFonts w:ascii="Arial" w:hAnsi="Arial" w:cs="Arial"/>
        </w:rPr>
        <w:t xml:space="preserve"> equal</w:t>
      </w:r>
      <w:r w:rsidR="000D7760">
        <w:rPr>
          <w:rFonts w:ascii="Arial" w:hAnsi="Arial" w:cs="Arial"/>
        </w:rPr>
        <w:t xml:space="preserve"> numbers of eligible</w:t>
      </w:r>
      <w:r w:rsidRPr="00F61F1B">
        <w:rPr>
          <w:rFonts w:ascii="Arial" w:hAnsi="Arial" w:cs="Arial"/>
        </w:rPr>
        <w:t xml:space="preserve"> </w:t>
      </w:r>
      <w:proofErr w:type="gramStart"/>
      <w:r w:rsidRPr="00F61F1B">
        <w:rPr>
          <w:rFonts w:ascii="Arial" w:hAnsi="Arial" w:cs="Arial"/>
        </w:rPr>
        <w:t>voter</w:t>
      </w:r>
      <w:r w:rsidR="000D7760">
        <w:rPr>
          <w:rFonts w:ascii="Arial" w:hAnsi="Arial" w:cs="Arial"/>
        </w:rPr>
        <w:t>s</w:t>
      </w:r>
      <w:r w:rsidRPr="00F61F1B">
        <w:rPr>
          <w:rFonts w:ascii="Arial" w:hAnsi="Arial" w:cs="Arial"/>
        </w:rPr>
        <w:t>, that</w:t>
      </w:r>
      <w:proofErr w:type="gramEnd"/>
      <w:r w:rsidRPr="00F61F1B">
        <w:rPr>
          <w:rFonts w:ascii="Arial" w:hAnsi="Arial" w:cs="Arial"/>
        </w:rPr>
        <w:t xml:space="preserve"> now was not the time to resolve it.</w:t>
      </w:r>
    </w:p>
    <w:p w14:paraId="59C2219D" w14:textId="77777777" w:rsidR="00067009" w:rsidRPr="00F61F1B" w:rsidRDefault="00067009" w:rsidP="00F61F1B">
      <w:pPr>
        <w:spacing w:after="0" w:line="300" w:lineRule="exact"/>
        <w:rPr>
          <w:rFonts w:ascii="Arial" w:hAnsi="Arial" w:cs="Arial"/>
        </w:rPr>
      </w:pPr>
    </w:p>
    <w:p w14:paraId="079073FB" w14:textId="384DC91C" w:rsidR="00A14C37" w:rsidRPr="00F61F1B" w:rsidRDefault="00EB4BD2" w:rsidP="00F61F1B">
      <w:pPr>
        <w:spacing w:after="0" w:line="300" w:lineRule="exact"/>
        <w:rPr>
          <w:rFonts w:ascii="Arial" w:hAnsi="Arial" w:cs="Arial"/>
        </w:rPr>
      </w:pPr>
      <w:r w:rsidRPr="00F61F1B">
        <w:rPr>
          <w:rFonts w:ascii="Arial" w:hAnsi="Arial" w:cs="Arial"/>
        </w:rPr>
        <w:t>Although the eleven cases summarised here included two where the Co</w:t>
      </w:r>
      <w:r w:rsidR="00F61F1B">
        <w:rPr>
          <w:rFonts w:ascii="Arial" w:hAnsi="Arial" w:cs="Arial"/>
        </w:rPr>
        <w:t>ur</w:t>
      </w:r>
      <w:r w:rsidRPr="00F61F1B">
        <w:rPr>
          <w:rFonts w:ascii="Arial" w:hAnsi="Arial" w:cs="Arial"/>
        </w:rPr>
        <w:t xml:space="preserve">t divided 4:4, it is clear that all of the </w:t>
      </w:r>
      <w:r w:rsidR="00F61F1B">
        <w:rPr>
          <w:rFonts w:ascii="Arial" w:hAnsi="Arial" w:cs="Arial"/>
        </w:rPr>
        <w:t>Justices</w:t>
      </w:r>
      <w:r w:rsidRPr="00F61F1B">
        <w:rPr>
          <w:rFonts w:ascii="Arial" w:hAnsi="Arial" w:cs="Arial"/>
        </w:rPr>
        <w:t xml:space="preserve"> are determined to avoid such results wherever it is possible to do so.</w:t>
      </w:r>
      <w:r w:rsidR="004E5B8B">
        <w:rPr>
          <w:rFonts w:ascii="Arial" w:hAnsi="Arial" w:cs="Arial"/>
        </w:rPr>
        <w:t xml:space="preserve"> </w:t>
      </w:r>
      <w:r w:rsidRPr="00F61F1B">
        <w:rPr>
          <w:rFonts w:ascii="Arial" w:hAnsi="Arial" w:cs="Arial"/>
        </w:rPr>
        <w:t xml:space="preserve">Perhaps there was a further demonstration of this in </w:t>
      </w:r>
      <w:r w:rsidR="000D7760">
        <w:rPr>
          <w:rFonts w:ascii="Arial" w:hAnsi="Arial" w:cs="Arial"/>
        </w:rPr>
        <w:t>an</w:t>
      </w:r>
      <w:r w:rsidRPr="00F61F1B">
        <w:rPr>
          <w:rFonts w:ascii="Arial" w:hAnsi="Arial" w:cs="Arial"/>
        </w:rPr>
        <w:t xml:space="preserve"> order made on 8 April in the case of </w:t>
      </w:r>
      <w:r w:rsidRPr="00F61F1B">
        <w:rPr>
          <w:rFonts w:ascii="Arial" w:hAnsi="Arial" w:cs="Arial"/>
          <w:i/>
        </w:rPr>
        <w:t>United States v Texas</w:t>
      </w:r>
      <w:r w:rsidRPr="00F61F1B">
        <w:rPr>
          <w:rFonts w:ascii="Arial" w:hAnsi="Arial" w:cs="Arial"/>
        </w:rPr>
        <w:t>,</w:t>
      </w:r>
      <w:r w:rsidR="00B76407" w:rsidRPr="00F61F1B">
        <w:rPr>
          <w:rFonts w:ascii="Arial" w:hAnsi="Arial" w:cs="Arial"/>
          <w:color w:val="392B7D"/>
        </w:rPr>
        <w:t>[</w:t>
      </w:r>
      <w:r w:rsidRPr="00F61F1B">
        <w:rPr>
          <w:rStyle w:val="EndnoteReference"/>
          <w:rFonts w:ascii="Arial" w:hAnsi="Arial" w:cs="Arial"/>
          <w:color w:val="392B7D"/>
          <w:vertAlign w:val="baseline"/>
        </w:rPr>
        <w:endnoteReference w:id="31"/>
      </w:r>
      <w:r w:rsidR="00B76407" w:rsidRPr="00F61F1B">
        <w:rPr>
          <w:rFonts w:ascii="Arial" w:hAnsi="Arial" w:cs="Arial"/>
          <w:color w:val="392B7D"/>
        </w:rPr>
        <w:t>]</w:t>
      </w:r>
      <w:r w:rsidRPr="00F61F1B">
        <w:rPr>
          <w:rFonts w:ascii="Arial" w:hAnsi="Arial" w:cs="Arial"/>
        </w:rPr>
        <w:t xml:space="preserve"> due to be argued on 18 April when the Court resumes after a brief recess.</w:t>
      </w:r>
      <w:r w:rsidR="004E5B8B">
        <w:rPr>
          <w:rFonts w:ascii="Arial" w:hAnsi="Arial" w:cs="Arial"/>
        </w:rPr>
        <w:t xml:space="preserve"> </w:t>
      </w:r>
      <w:r w:rsidR="000E5C25" w:rsidRPr="00F61F1B">
        <w:rPr>
          <w:rFonts w:ascii="Arial" w:hAnsi="Arial" w:cs="Arial"/>
        </w:rPr>
        <w:t>The case involves the validity of the Obama administration’s use of discretionary executive powers to grant amnesty to illegal aliens who might otherwise be deported.</w:t>
      </w:r>
      <w:r w:rsidR="004E5B8B">
        <w:rPr>
          <w:rFonts w:ascii="Arial" w:hAnsi="Arial" w:cs="Arial"/>
        </w:rPr>
        <w:t xml:space="preserve"> </w:t>
      </w:r>
      <w:r w:rsidR="000E5C25" w:rsidRPr="00F61F1B">
        <w:rPr>
          <w:rFonts w:ascii="Arial" w:hAnsi="Arial" w:cs="Arial"/>
        </w:rPr>
        <w:t>It cannot fail to be controversial; but at least the Court can make sure that it is fully argued.</w:t>
      </w:r>
      <w:r w:rsidR="004E5B8B">
        <w:rPr>
          <w:rFonts w:ascii="Arial" w:hAnsi="Arial" w:cs="Arial"/>
        </w:rPr>
        <w:t xml:space="preserve"> </w:t>
      </w:r>
      <w:r w:rsidR="000E5C25" w:rsidRPr="00F61F1B">
        <w:rPr>
          <w:rFonts w:ascii="Arial" w:hAnsi="Arial" w:cs="Arial"/>
        </w:rPr>
        <w:t>The usual strictly limited time of one hour for oral arguments has been expanded by the allowance of an extra half-hour, including fifteen minutes for counsel representing the House of Representatives as amicus curiae.</w:t>
      </w:r>
    </w:p>
    <w:p w14:paraId="4BBE25E5" w14:textId="77777777" w:rsidR="000E5C25" w:rsidRPr="00F61F1B" w:rsidRDefault="000E5C25" w:rsidP="00F61F1B">
      <w:pPr>
        <w:spacing w:after="0" w:line="300" w:lineRule="exact"/>
        <w:rPr>
          <w:rFonts w:ascii="Arial" w:hAnsi="Arial" w:cs="Arial"/>
        </w:rPr>
      </w:pPr>
    </w:p>
    <w:p w14:paraId="58C0A77E" w14:textId="329CF14F" w:rsidR="000E5C25" w:rsidRDefault="000E5C25" w:rsidP="00F61F1B">
      <w:pPr>
        <w:spacing w:after="0" w:line="300" w:lineRule="exact"/>
        <w:rPr>
          <w:rFonts w:ascii="Arial" w:hAnsi="Arial" w:cs="Arial"/>
        </w:rPr>
      </w:pPr>
      <w:r w:rsidRPr="00F61F1B">
        <w:rPr>
          <w:rFonts w:ascii="Arial" w:hAnsi="Arial" w:cs="Arial"/>
        </w:rPr>
        <w:t>Yet it may be possible to read too much significance into such an order.</w:t>
      </w:r>
      <w:r w:rsidR="004E5B8B">
        <w:rPr>
          <w:rFonts w:ascii="Arial" w:hAnsi="Arial" w:cs="Arial"/>
        </w:rPr>
        <w:t xml:space="preserve"> </w:t>
      </w:r>
      <w:r w:rsidRPr="00F61F1B">
        <w:rPr>
          <w:rFonts w:ascii="Arial" w:hAnsi="Arial" w:cs="Arial"/>
        </w:rPr>
        <w:t>An order had already been made enlarging the word limit on written briefs to 20,000 words for each side.</w:t>
      </w:r>
      <w:r w:rsidR="004E5B8B">
        <w:rPr>
          <w:rFonts w:ascii="Arial" w:hAnsi="Arial" w:cs="Arial"/>
        </w:rPr>
        <w:t xml:space="preserve"> </w:t>
      </w:r>
      <w:r w:rsidRPr="00F61F1B">
        <w:rPr>
          <w:rFonts w:ascii="Arial" w:hAnsi="Arial" w:cs="Arial"/>
        </w:rPr>
        <w:t>And that order was made by Justice Scalia, on the Tuesday before his death.</w:t>
      </w:r>
    </w:p>
    <w:p w14:paraId="71E67CCA" w14:textId="77777777" w:rsidR="00163A27" w:rsidRPr="00F61F1B" w:rsidRDefault="00163A27" w:rsidP="00163A27">
      <w:pPr>
        <w:spacing w:after="0" w:line="480" w:lineRule="exact"/>
        <w:rPr>
          <w:rFonts w:ascii="Arial" w:hAnsi="Arial" w:cs="Arial"/>
        </w:rPr>
      </w:pPr>
    </w:p>
    <w:p w14:paraId="324E406D" w14:textId="7F60B8C8" w:rsidR="000B693F" w:rsidRPr="007E34C0" w:rsidRDefault="00D12259" w:rsidP="00163A27">
      <w:pPr>
        <w:spacing w:after="240" w:line="300" w:lineRule="exact"/>
        <w:rPr>
          <w:rFonts w:ascii="Arial" w:hAnsi="Arial" w:cs="Arial"/>
          <w:b/>
        </w:rPr>
      </w:pPr>
      <w:r w:rsidRPr="0004266C">
        <w:rPr>
          <w:rFonts w:ascii="Arial" w:hAnsi="Arial" w:cs="Arial"/>
          <w:b/>
          <w:color w:val="392B7D"/>
        </w:rPr>
        <w:t>Tony Blackshield</w:t>
      </w:r>
      <w:r w:rsidRPr="007E34C0">
        <w:rPr>
          <w:rFonts w:ascii="Arial" w:hAnsi="Arial" w:cs="Arial"/>
          <w:b/>
        </w:rPr>
        <w:t xml:space="preserve"> is an</w:t>
      </w:r>
      <w:r w:rsidR="00085E96" w:rsidRPr="007E34C0">
        <w:rPr>
          <w:rFonts w:ascii="Arial" w:hAnsi="Arial" w:cs="Arial"/>
          <w:b/>
        </w:rPr>
        <w:t xml:space="preserve"> Eme</w:t>
      </w:r>
      <w:r w:rsidRPr="007E34C0">
        <w:rPr>
          <w:rFonts w:ascii="Arial" w:hAnsi="Arial" w:cs="Arial"/>
          <w:b/>
        </w:rPr>
        <w:t>ritus Professor of Law at Macquarie University, a</w:t>
      </w:r>
      <w:r w:rsidR="0004266C">
        <w:rPr>
          <w:rFonts w:ascii="Arial" w:hAnsi="Arial" w:cs="Arial"/>
          <w:b/>
        </w:rPr>
        <w:t xml:space="preserve"> Visiting Professorial Fellow at the University of New South Wales, and an Honorary Professor of the Indian Law Institute in New Delhi.</w:t>
      </w:r>
      <w:r w:rsidR="004E5B8B">
        <w:rPr>
          <w:rFonts w:ascii="Arial" w:hAnsi="Arial" w:cs="Arial"/>
          <w:b/>
        </w:rPr>
        <w:t xml:space="preserve"> </w:t>
      </w:r>
      <w:r w:rsidR="0004266C">
        <w:rPr>
          <w:rFonts w:ascii="Arial" w:hAnsi="Arial" w:cs="Arial"/>
          <w:b/>
        </w:rPr>
        <w:t>In 1964 he was a Visiting Professor at the University of Virginia Law School.</w:t>
      </w:r>
    </w:p>
    <w:sectPr w:rsidR="000B693F" w:rsidRPr="007E34C0" w:rsidSect="00163A27">
      <w:footerReference w:type="default" r:id="rId10"/>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D3C6" w14:textId="77777777" w:rsidR="00783E63" w:rsidRDefault="00783E63" w:rsidP="000B693F">
      <w:pPr>
        <w:spacing w:after="0" w:line="240" w:lineRule="auto"/>
      </w:pPr>
      <w:r>
        <w:separator/>
      </w:r>
    </w:p>
  </w:endnote>
  <w:endnote w:type="continuationSeparator" w:id="0">
    <w:p w14:paraId="333DB3AF" w14:textId="77777777" w:rsidR="00783E63" w:rsidRDefault="00783E63" w:rsidP="000B693F">
      <w:pPr>
        <w:spacing w:after="0" w:line="240" w:lineRule="auto"/>
      </w:pPr>
      <w:r>
        <w:continuationSeparator/>
      </w:r>
    </w:p>
  </w:endnote>
  <w:endnote w:id="1">
    <w:p w14:paraId="56F33AA2" w14:textId="77777777" w:rsidR="00412423" w:rsidRPr="000E5C25" w:rsidRDefault="00412423" w:rsidP="00BB5A1D">
      <w:pPr>
        <w:pStyle w:val="EndnoteText"/>
        <w:spacing w:line="280" w:lineRule="exact"/>
        <w:contextualSpacing/>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Hawkins v Community Bank of Raymore</w:t>
      </w:r>
      <w:r w:rsidRPr="000E5C25">
        <w:rPr>
          <w:rFonts w:ascii="Arial" w:hAnsi="Arial" w:cs="Arial"/>
          <w:sz w:val="21"/>
          <w:szCs w:val="21"/>
        </w:rPr>
        <w:t xml:space="preserve"> (argued 5 October 2005, result announced 22 March 2016).</w:t>
      </w:r>
      <w:proofErr w:type="gramEnd"/>
    </w:p>
  </w:endnote>
  <w:endnote w:id="2">
    <w:p w14:paraId="4C1D5036" w14:textId="77777777" w:rsidR="00412423" w:rsidRPr="000E5C25" w:rsidRDefault="00412423" w:rsidP="00B76407">
      <w:pPr>
        <w:pStyle w:val="FootnoteText"/>
        <w:spacing w:line="160" w:lineRule="exact"/>
        <w:rPr>
          <w:rFonts w:ascii="Arial" w:hAnsi="Arial" w:cs="Arial"/>
          <w:sz w:val="21"/>
          <w:szCs w:val="21"/>
        </w:rPr>
      </w:pPr>
    </w:p>
    <w:p w14:paraId="1B9B0F05" w14:textId="77777777" w:rsidR="00412423" w:rsidRPr="000E5C25" w:rsidRDefault="00412423" w:rsidP="00BB5A1D">
      <w:pPr>
        <w:pStyle w:val="Foot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gramStart"/>
      <w:r w:rsidRPr="000E5C25">
        <w:rPr>
          <w:rFonts w:ascii="Arial" w:hAnsi="Arial" w:cs="Arial"/>
          <w:i/>
          <w:sz w:val="21"/>
          <w:szCs w:val="21"/>
        </w:rPr>
        <w:t>Hawkins v Community Bank of Raymore</w:t>
      </w:r>
      <w:r w:rsidRPr="000E5C25">
        <w:rPr>
          <w:rFonts w:ascii="Arial" w:hAnsi="Arial" w:cs="Arial"/>
          <w:sz w:val="21"/>
          <w:szCs w:val="21"/>
        </w:rPr>
        <w:t>, 761 F. 3rd 937, at 939 (2014).</w:t>
      </w:r>
      <w:proofErr w:type="gramEnd"/>
    </w:p>
  </w:endnote>
  <w:endnote w:id="3">
    <w:p w14:paraId="269BFFC5" w14:textId="77777777" w:rsidR="00412423" w:rsidRPr="000E5C25" w:rsidRDefault="00412423" w:rsidP="00B76407">
      <w:pPr>
        <w:pStyle w:val="EndnoteText"/>
        <w:spacing w:line="160" w:lineRule="exact"/>
        <w:rPr>
          <w:rFonts w:ascii="Arial" w:hAnsi="Arial" w:cs="Arial"/>
          <w:sz w:val="21"/>
          <w:szCs w:val="21"/>
        </w:rPr>
      </w:pPr>
    </w:p>
    <w:p w14:paraId="49AFF0F2" w14:textId="77777777" w:rsidR="00412423" w:rsidRPr="000E5C25" w:rsidRDefault="00412423" w:rsidP="0046058B">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 xml:space="preserve">Chevron USA </w:t>
      </w:r>
      <w:proofErr w:type="spellStart"/>
      <w:r w:rsidRPr="000E5C25">
        <w:rPr>
          <w:rFonts w:ascii="Arial" w:hAnsi="Arial" w:cs="Arial"/>
          <w:i/>
          <w:sz w:val="21"/>
          <w:szCs w:val="21"/>
        </w:rPr>
        <w:t>Inc</w:t>
      </w:r>
      <w:proofErr w:type="spellEnd"/>
      <w:r w:rsidRPr="000E5C25">
        <w:rPr>
          <w:rFonts w:ascii="Arial" w:hAnsi="Arial" w:cs="Arial"/>
          <w:i/>
          <w:sz w:val="21"/>
          <w:szCs w:val="21"/>
        </w:rPr>
        <w:t xml:space="preserve"> v Natural Resources </w:t>
      </w:r>
      <w:proofErr w:type="spellStart"/>
      <w:r w:rsidRPr="000E5C25">
        <w:rPr>
          <w:rFonts w:ascii="Arial" w:hAnsi="Arial" w:cs="Arial"/>
          <w:i/>
          <w:sz w:val="21"/>
          <w:szCs w:val="21"/>
        </w:rPr>
        <w:t>Defense</w:t>
      </w:r>
      <w:proofErr w:type="spellEnd"/>
      <w:r w:rsidRPr="000E5C25">
        <w:rPr>
          <w:rFonts w:ascii="Arial" w:hAnsi="Arial" w:cs="Arial"/>
          <w:i/>
          <w:sz w:val="21"/>
          <w:szCs w:val="21"/>
        </w:rPr>
        <w:t xml:space="preserve"> Council</w:t>
      </w:r>
      <w:r w:rsidRPr="000E5C25">
        <w:rPr>
          <w:rFonts w:ascii="Arial" w:hAnsi="Arial" w:cs="Arial"/>
          <w:sz w:val="21"/>
          <w:szCs w:val="21"/>
        </w:rPr>
        <w:t>, 467 US 837 (1984).</w:t>
      </w:r>
    </w:p>
  </w:endnote>
  <w:endnote w:id="4">
    <w:p w14:paraId="7DBB5F95" w14:textId="77777777" w:rsidR="00412423" w:rsidRPr="000E5C25" w:rsidRDefault="00412423" w:rsidP="00B76407">
      <w:pPr>
        <w:pStyle w:val="EndnoteText"/>
        <w:spacing w:line="160" w:lineRule="exact"/>
        <w:contextualSpacing/>
        <w:rPr>
          <w:rFonts w:ascii="Arial" w:hAnsi="Arial" w:cs="Arial"/>
          <w:sz w:val="21"/>
          <w:szCs w:val="21"/>
        </w:rPr>
      </w:pPr>
    </w:p>
    <w:p w14:paraId="184ED802" w14:textId="77777777" w:rsidR="00412423" w:rsidRPr="000E5C25" w:rsidRDefault="00412423" w:rsidP="00BB5A1D">
      <w:pPr>
        <w:pStyle w:val="EndnoteText"/>
        <w:spacing w:line="280" w:lineRule="exact"/>
        <w:contextualSpacing/>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spellStart"/>
      <w:r w:rsidRPr="000E5C25">
        <w:rPr>
          <w:rFonts w:ascii="Arial" w:hAnsi="Arial" w:cs="Arial"/>
          <w:i/>
          <w:sz w:val="21"/>
          <w:szCs w:val="21"/>
        </w:rPr>
        <w:t>Friedrichs</w:t>
      </w:r>
      <w:proofErr w:type="spellEnd"/>
      <w:r w:rsidRPr="000E5C25">
        <w:rPr>
          <w:rFonts w:ascii="Arial" w:hAnsi="Arial" w:cs="Arial"/>
          <w:i/>
          <w:sz w:val="21"/>
          <w:szCs w:val="21"/>
        </w:rPr>
        <w:t xml:space="preserve"> v California Teachers Association</w:t>
      </w:r>
      <w:r w:rsidRPr="000E5C25">
        <w:rPr>
          <w:rFonts w:ascii="Arial" w:hAnsi="Arial" w:cs="Arial"/>
          <w:sz w:val="21"/>
          <w:szCs w:val="21"/>
        </w:rPr>
        <w:t xml:space="preserve"> (argued 11 January 2016, result announced 29 March 2016).</w:t>
      </w:r>
      <w:proofErr w:type="gramEnd"/>
    </w:p>
  </w:endnote>
  <w:endnote w:id="5">
    <w:p w14:paraId="23C18864" w14:textId="77777777" w:rsidR="00412423" w:rsidRPr="000E5C25" w:rsidRDefault="00412423" w:rsidP="00B76407">
      <w:pPr>
        <w:pStyle w:val="EndnoteText"/>
        <w:spacing w:line="160" w:lineRule="exact"/>
        <w:contextualSpacing/>
        <w:rPr>
          <w:rFonts w:ascii="Arial" w:hAnsi="Arial" w:cs="Arial"/>
          <w:sz w:val="21"/>
          <w:szCs w:val="21"/>
        </w:rPr>
      </w:pPr>
    </w:p>
    <w:p w14:paraId="529A18A1" w14:textId="77777777" w:rsidR="00412423" w:rsidRPr="000E5C25" w:rsidRDefault="00412423" w:rsidP="00B806AB">
      <w:pPr>
        <w:pStyle w:val="EndnoteText"/>
        <w:spacing w:line="280" w:lineRule="exact"/>
        <w:contextualSpacing/>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431 US 209 (1977).</w:t>
      </w:r>
      <w:proofErr w:type="gramEnd"/>
    </w:p>
  </w:endnote>
  <w:endnote w:id="6">
    <w:p w14:paraId="7CAFAA15" w14:textId="77777777" w:rsidR="00412423" w:rsidRPr="000E5C25" w:rsidRDefault="00412423" w:rsidP="00B76407">
      <w:pPr>
        <w:pStyle w:val="EndnoteText"/>
        <w:spacing w:line="160" w:lineRule="exact"/>
        <w:contextualSpacing/>
        <w:rPr>
          <w:rFonts w:ascii="Arial" w:hAnsi="Arial" w:cs="Arial"/>
          <w:sz w:val="21"/>
          <w:szCs w:val="21"/>
        </w:rPr>
      </w:pPr>
    </w:p>
    <w:p w14:paraId="7A1CE069" w14:textId="77777777" w:rsidR="00412423" w:rsidRPr="000E5C25" w:rsidRDefault="00412423" w:rsidP="00B806AB">
      <w:pPr>
        <w:pStyle w:val="EndnoteText"/>
        <w:spacing w:line="280" w:lineRule="exact"/>
        <w:contextualSpacing/>
        <w:rPr>
          <w:rStyle w:val="st1"/>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Style w:val="st1"/>
          <w:rFonts w:ascii="Arial" w:hAnsi="Arial" w:cs="Arial"/>
          <w:sz w:val="21"/>
          <w:szCs w:val="21"/>
        </w:rPr>
        <w:t xml:space="preserve">134 </w:t>
      </w:r>
      <w:r w:rsidRPr="000E5C25">
        <w:rPr>
          <w:rStyle w:val="Emphasis"/>
          <w:rFonts w:ascii="Arial" w:hAnsi="Arial" w:cs="Arial"/>
          <w:b w:val="0"/>
          <w:sz w:val="21"/>
          <w:szCs w:val="21"/>
        </w:rPr>
        <w:t>S Ct</w:t>
      </w:r>
      <w:r w:rsidRPr="000E5C25">
        <w:rPr>
          <w:rStyle w:val="st1"/>
          <w:rFonts w:ascii="Arial" w:hAnsi="Arial" w:cs="Arial"/>
          <w:sz w:val="21"/>
          <w:szCs w:val="21"/>
        </w:rPr>
        <w:t xml:space="preserve"> 2618 (2014).</w:t>
      </w:r>
      <w:proofErr w:type="gramEnd"/>
    </w:p>
    <w:p w14:paraId="40DA14DB" w14:textId="77777777" w:rsidR="00412423" w:rsidRPr="000E5C25" w:rsidRDefault="00412423" w:rsidP="00B76407">
      <w:pPr>
        <w:pStyle w:val="EndnoteText"/>
        <w:spacing w:line="160" w:lineRule="exact"/>
        <w:contextualSpacing/>
        <w:rPr>
          <w:rFonts w:ascii="Arial" w:hAnsi="Arial" w:cs="Arial"/>
          <w:sz w:val="21"/>
          <w:szCs w:val="21"/>
        </w:rPr>
      </w:pPr>
    </w:p>
  </w:endnote>
  <w:endnote w:id="7">
    <w:p w14:paraId="095EE104" w14:textId="77777777" w:rsidR="00412423" w:rsidRPr="000E5C25" w:rsidRDefault="00412423" w:rsidP="00B806AB">
      <w:pPr>
        <w:pStyle w:val="Default"/>
        <w:spacing w:line="280" w:lineRule="exact"/>
        <w:contextualSpacing/>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 xml:space="preserve">Burwell v Hobby Lobby Stores </w:t>
      </w:r>
      <w:proofErr w:type="spellStart"/>
      <w:r w:rsidRPr="000E5C25">
        <w:rPr>
          <w:rFonts w:ascii="Arial" w:hAnsi="Arial" w:cs="Arial"/>
          <w:i/>
          <w:sz w:val="21"/>
          <w:szCs w:val="21"/>
        </w:rPr>
        <w:t>Inc</w:t>
      </w:r>
      <w:proofErr w:type="spellEnd"/>
      <w:r w:rsidRPr="000E5C25">
        <w:rPr>
          <w:rFonts w:ascii="Arial" w:hAnsi="Arial" w:cs="Arial"/>
          <w:sz w:val="21"/>
          <w:szCs w:val="21"/>
        </w:rPr>
        <w:t>, 134 S Ct 2751 (2014).</w:t>
      </w:r>
    </w:p>
    <w:p w14:paraId="17EB068F" w14:textId="77777777" w:rsidR="00412423" w:rsidRPr="000E5C25" w:rsidRDefault="00412423" w:rsidP="00B76407">
      <w:pPr>
        <w:pStyle w:val="Default"/>
        <w:spacing w:line="160" w:lineRule="exact"/>
        <w:contextualSpacing/>
        <w:rPr>
          <w:rFonts w:ascii="Arial" w:hAnsi="Arial" w:cs="Arial"/>
          <w:sz w:val="21"/>
          <w:szCs w:val="21"/>
        </w:rPr>
      </w:pPr>
    </w:p>
  </w:endnote>
  <w:endnote w:id="8">
    <w:p w14:paraId="2E6766F4" w14:textId="77777777" w:rsidR="00412423" w:rsidRPr="000E5C25" w:rsidRDefault="00412423" w:rsidP="00B806AB">
      <w:pPr>
        <w:pStyle w:val="Default"/>
        <w:spacing w:line="280" w:lineRule="exact"/>
        <w:contextualSpacing/>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For a detailed explanation of the new provisions see </w:t>
      </w:r>
      <w:r w:rsidRPr="000E5C25">
        <w:rPr>
          <w:rFonts w:ascii="Arial" w:hAnsi="Arial" w:cs="Arial"/>
          <w:bCs/>
          <w:i/>
          <w:sz w:val="21"/>
          <w:szCs w:val="21"/>
        </w:rPr>
        <w:t>Federal Register</w:t>
      </w:r>
      <w:r w:rsidRPr="000E5C25">
        <w:rPr>
          <w:rFonts w:ascii="Arial" w:hAnsi="Arial" w:cs="Arial"/>
          <w:b/>
          <w:bCs/>
          <w:sz w:val="21"/>
          <w:szCs w:val="21"/>
        </w:rPr>
        <w:t xml:space="preserve"> </w:t>
      </w:r>
      <w:proofErr w:type="spellStart"/>
      <w:r w:rsidRPr="000E5C25">
        <w:rPr>
          <w:rFonts w:ascii="Arial" w:hAnsi="Arial" w:cs="Arial"/>
          <w:sz w:val="21"/>
          <w:szCs w:val="21"/>
        </w:rPr>
        <w:t>Vol</w:t>
      </w:r>
      <w:proofErr w:type="spellEnd"/>
      <w:r w:rsidRPr="000E5C25">
        <w:rPr>
          <w:rFonts w:ascii="Arial" w:hAnsi="Arial" w:cs="Arial"/>
          <w:sz w:val="21"/>
          <w:szCs w:val="21"/>
        </w:rPr>
        <w:t xml:space="preserve"> 80, No 134 (14 July 2015), </w:t>
      </w:r>
      <w:proofErr w:type="spellStart"/>
      <w:r w:rsidRPr="000E5C25">
        <w:rPr>
          <w:rFonts w:ascii="Arial" w:hAnsi="Arial" w:cs="Arial"/>
          <w:sz w:val="21"/>
          <w:szCs w:val="21"/>
        </w:rPr>
        <w:t>pp</w:t>
      </w:r>
      <w:proofErr w:type="spellEnd"/>
      <w:r w:rsidRPr="000E5C25">
        <w:rPr>
          <w:rFonts w:ascii="Arial" w:hAnsi="Arial" w:cs="Arial"/>
          <w:sz w:val="21"/>
          <w:szCs w:val="21"/>
        </w:rPr>
        <w:t xml:space="preserve"> 41318-41347.</w:t>
      </w:r>
    </w:p>
    <w:p w14:paraId="4FE571A9" w14:textId="77777777" w:rsidR="00412423" w:rsidRPr="000E5C25" w:rsidRDefault="00412423" w:rsidP="00B76407">
      <w:pPr>
        <w:pStyle w:val="Default"/>
        <w:spacing w:line="160" w:lineRule="exact"/>
        <w:contextualSpacing/>
        <w:rPr>
          <w:rFonts w:ascii="Arial" w:hAnsi="Arial" w:cs="Arial"/>
          <w:sz w:val="21"/>
          <w:szCs w:val="21"/>
        </w:rPr>
      </w:pPr>
    </w:p>
  </w:endnote>
  <w:endnote w:id="9">
    <w:p w14:paraId="30464420" w14:textId="0265A881" w:rsidR="00412423" w:rsidRPr="000E5C25" w:rsidRDefault="00412423" w:rsidP="00B806AB">
      <w:pPr>
        <w:autoSpaceDE w:val="0"/>
        <w:autoSpaceDN w:val="0"/>
        <w:adjustRightInd w:val="0"/>
        <w:spacing w:after="0" w:line="280" w:lineRule="exact"/>
        <w:contextualSpacing/>
        <w:rPr>
          <w:rFonts w:ascii="Arial" w:eastAsia="Times New Roman" w:hAnsi="Arial" w:cs="Arial"/>
          <w:sz w:val="21"/>
          <w:szCs w:val="21"/>
          <w:lang w:eastAsia="en-AU"/>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spellStart"/>
      <w:r w:rsidRPr="000E5C25">
        <w:rPr>
          <w:rFonts w:ascii="Arial" w:hAnsi="Arial" w:cs="Arial"/>
          <w:i/>
          <w:sz w:val="21"/>
          <w:szCs w:val="21"/>
        </w:rPr>
        <w:t>Zubik</w:t>
      </w:r>
      <w:proofErr w:type="spellEnd"/>
      <w:r w:rsidRPr="000E5C25">
        <w:rPr>
          <w:rFonts w:ascii="Arial" w:hAnsi="Arial" w:cs="Arial"/>
          <w:i/>
          <w:sz w:val="21"/>
          <w:szCs w:val="21"/>
        </w:rPr>
        <w:t xml:space="preserve"> v Burwell</w:t>
      </w:r>
      <w:r w:rsidRPr="000E5C25">
        <w:rPr>
          <w:rFonts w:ascii="Arial" w:hAnsi="Arial" w:cs="Arial"/>
          <w:sz w:val="21"/>
          <w:szCs w:val="21"/>
        </w:rPr>
        <w:t xml:space="preserve"> (Third Circuit); </w:t>
      </w:r>
      <w:r w:rsidRPr="000E5C25">
        <w:rPr>
          <w:rFonts w:ascii="Arial" w:hAnsi="Arial" w:cs="Arial"/>
          <w:i/>
          <w:sz w:val="21"/>
          <w:szCs w:val="21"/>
        </w:rPr>
        <w:t>Priests for Life v Burwell</w:t>
      </w:r>
      <w:r w:rsidRPr="000E5C25">
        <w:rPr>
          <w:rFonts w:ascii="Arial" w:hAnsi="Arial" w:cs="Arial"/>
          <w:sz w:val="21"/>
          <w:szCs w:val="21"/>
        </w:rPr>
        <w:t xml:space="preserve"> (DC Circuit); </w:t>
      </w:r>
      <w:r w:rsidRPr="000E5C25">
        <w:rPr>
          <w:rFonts w:ascii="Arial" w:hAnsi="Arial" w:cs="Arial"/>
          <w:i/>
          <w:sz w:val="21"/>
          <w:szCs w:val="21"/>
        </w:rPr>
        <w:t>Roman Catholic Archbishop of Washington v Burwell</w:t>
      </w:r>
      <w:r w:rsidRPr="000E5C25">
        <w:rPr>
          <w:rFonts w:ascii="Arial" w:hAnsi="Arial" w:cs="Arial"/>
          <w:sz w:val="21"/>
          <w:szCs w:val="21"/>
        </w:rPr>
        <w:t xml:space="preserve"> (DC Circuit); </w:t>
      </w:r>
      <w:r w:rsidRPr="000E5C25">
        <w:rPr>
          <w:rFonts w:ascii="Arial" w:hAnsi="Arial" w:cs="Arial"/>
          <w:i/>
          <w:sz w:val="21"/>
          <w:szCs w:val="21"/>
        </w:rPr>
        <w:t>East Texas Baptist University v Burwell</w:t>
      </w:r>
      <w:r w:rsidRPr="000E5C25">
        <w:rPr>
          <w:rFonts w:ascii="Arial" w:hAnsi="Arial" w:cs="Arial"/>
          <w:sz w:val="21"/>
          <w:szCs w:val="21"/>
        </w:rPr>
        <w:t xml:space="preserve"> (Fifth Circuit); </w:t>
      </w:r>
      <w:r w:rsidRPr="000E5C25">
        <w:rPr>
          <w:rFonts w:ascii="Arial" w:hAnsi="Arial" w:cs="Arial"/>
          <w:i/>
          <w:sz w:val="21"/>
          <w:szCs w:val="21"/>
        </w:rPr>
        <w:t>Little Sisters of the Poor v Burwell</w:t>
      </w:r>
      <w:r w:rsidRPr="000E5C25">
        <w:rPr>
          <w:rFonts w:ascii="Arial" w:hAnsi="Arial" w:cs="Arial"/>
          <w:sz w:val="21"/>
          <w:szCs w:val="21"/>
        </w:rPr>
        <w:t xml:space="preserve"> (Tenth Circuit); </w:t>
      </w:r>
      <w:r w:rsidRPr="000E5C25">
        <w:rPr>
          <w:rFonts w:ascii="Arial" w:hAnsi="Arial" w:cs="Arial"/>
          <w:i/>
          <w:sz w:val="21"/>
          <w:szCs w:val="21"/>
        </w:rPr>
        <w:t>Southern Nazarene University v Burwell</w:t>
      </w:r>
      <w:r w:rsidRPr="000E5C25">
        <w:rPr>
          <w:rFonts w:ascii="Arial" w:hAnsi="Arial" w:cs="Arial"/>
          <w:sz w:val="21"/>
          <w:szCs w:val="21"/>
        </w:rPr>
        <w:t xml:space="preserve"> (Tenth Circuit); and </w:t>
      </w:r>
      <w:r w:rsidRPr="000E5C25">
        <w:rPr>
          <w:rFonts w:ascii="Arial" w:hAnsi="Arial" w:cs="Arial"/>
          <w:i/>
          <w:sz w:val="21"/>
          <w:szCs w:val="21"/>
        </w:rPr>
        <w:t>Geneva College v Burwell</w:t>
      </w:r>
      <w:r w:rsidRPr="000E5C25">
        <w:rPr>
          <w:rFonts w:ascii="Arial" w:hAnsi="Arial" w:cs="Arial"/>
          <w:sz w:val="21"/>
          <w:szCs w:val="21"/>
        </w:rPr>
        <w:t xml:space="preserve"> (Third Circuit).</w:t>
      </w:r>
      <w:r>
        <w:rPr>
          <w:rFonts w:ascii="Arial" w:hAnsi="Arial" w:cs="Arial"/>
          <w:sz w:val="21"/>
          <w:szCs w:val="21"/>
        </w:rPr>
        <w:t xml:space="preserve"> </w:t>
      </w:r>
      <w:r w:rsidRPr="000E5C25">
        <w:rPr>
          <w:rFonts w:ascii="Arial" w:hAnsi="Arial" w:cs="Arial"/>
          <w:sz w:val="21"/>
          <w:szCs w:val="21"/>
        </w:rPr>
        <w:t>The university and college cases were brought because the new regulations were expressed to</w:t>
      </w:r>
      <w:r w:rsidRPr="000E5C25">
        <w:rPr>
          <w:rFonts w:ascii="Arial" w:eastAsia="Times New Roman" w:hAnsi="Arial" w:cs="Arial"/>
          <w:sz w:val="21"/>
          <w:szCs w:val="21"/>
          <w:lang w:eastAsia="en-AU"/>
        </w:rPr>
        <w:t xml:space="preserve"> apply “to student health insurance coverage arranged by an eligible organization that is an institution of higher education … in a manner comparable to that in which they apply to group health insurance coverage”.</w:t>
      </w:r>
    </w:p>
    <w:p w14:paraId="12B05067" w14:textId="77777777" w:rsidR="00412423" w:rsidRPr="000E5C25" w:rsidRDefault="00412423" w:rsidP="00B76407">
      <w:pPr>
        <w:autoSpaceDE w:val="0"/>
        <w:autoSpaceDN w:val="0"/>
        <w:adjustRightInd w:val="0"/>
        <w:spacing w:after="0" w:line="160" w:lineRule="exact"/>
        <w:contextualSpacing/>
        <w:rPr>
          <w:rFonts w:ascii="Arial" w:eastAsia="Times New Roman" w:hAnsi="Arial" w:cs="Arial"/>
          <w:sz w:val="21"/>
          <w:szCs w:val="21"/>
          <w:lang w:eastAsia="en-AU"/>
        </w:rPr>
      </w:pPr>
    </w:p>
  </w:endnote>
  <w:endnote w:id="10">
    <w:p w14:paraId="11092B8E" w14:textId="77777777" w:rsidR="00412423" w:rsidRPr="000E5C25" w:rsidRDefault="00412423" w:rsidP="00EE3EE3">
      <w:pPr>
        <w:pStyle w:val="EndnoteText"/>
        <w:spacing w:line="280" w:lineRule="exact"/>
        <w:contextualSpacing/>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Argued 23 March 2016 (sub nom </w:t>
      </w:r>
      <w:proofErr w:type="spellStart"/>
      <w:r w:rsidRPr="000E5C25">
        <w:rPr>
          <w:rFonts w:ascii="Arial" w:hAnsi="Arial" w:cs="Arial"/>
          <w:i/>
          <w:sz w:val="21"/>
          <w:szCs w:val="21"/>
        </w:rPr>
        <w:t>Zubik</w:t>
      </w:r>
      <w:proofErr w:type="spellEnd"/>
      <w:r w:rsidRPr="000E5C25">
        <w:rPr>
          <w:rFonts w:ascii="Arial" w:hAnsi="Arial" w:cs="Arial"/>
          <w:i/>
          <w:sz w:val="21"/>
          <w:szCs w:val="21"/>
        </w:rPr>
        <w:t xml:space="preserve"> v Burwell</w:t>
      </w:r>
      <w:r w:rsidRPr="000E5C25">
        <w:rPr>
          <w:rFonts w:ascii="Arial" w:hAnsi="Arial" w:cs="Arial"/>
          <w:sz w:val="21"/>
          <w:szCs w:val="21"/>
        </w:rPr>
        <w:t>).</w:t>
      </w:r>
    </w:p>
    <w:p w14:paraId="27D8998A" w14:textId="77777777" w:rsidR="00412423" w:rsidRPr="000E5C25" w:rsidRDefault="00412423" w:rsidP="00B76407">
      <w:pPr>
        <w:pStyle w:val="EndnoteText"/>
        <w:spacing w:line="160" w:lineRule="exact"/>
        <w:contextualSpacing/>
        <w:rPr>
          <w:rFonts w:ascii="Arial" w:hAnsi="Arial" w:cs="Arial"/>
          <w:sz w:val="21"/>
          <w:szCs w:val="21"/>
        </w:rPr>
      </w:pPr>
    </w:p>
  </w:endnote>
  <w:endnote w:id="11">
    <w:p w14:paraId="3B870A64" w14:textId="77777777" w:rsidR="00412423" w:rsidRPr="000E5C25" w:rsidRDefault="00412423" w:rsidP="00EE3EE3">
      <w:pPr>
        <w:pStyle w:val="EndnoteText"/>
        <w:spacing w:line="280" w:lineRule="exact"/>
        <w:contextualSpacing/>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Catholic Health Care System v Burwell</w:t>
      </w:r>
      <w:r w:rsidRPr="000E5C25">
        <w:rPr>
          <w:rFonts w:ascii="Arial" w:hAnsi="Arial" w:cs="Arial"/>
          <w:sz w:val="21"/>
          <w:szCs w:val="21"/>
        </w:rPr>
        <w:t xml:space="preserve"> (Second Circuit, decided 7 August 2015); </w:t>
      </w:r>
      <w:r w:rsidRPr="000E5C25">
        <w:rPr>
          <w:rFonts w:ascii="Arial" w:hAnsi="Arial" w:cs="Arial"/>
          <w:i/>
          <w:sz w:val="21"/>
          <w:szCs w:val="21"/>
        </w:rPr>
        <w:t>Michigan Catholic Conference v Burwell</w:t>
      </w:r>
      <w:r w:rsidRPr="000E5C25">
        <w:rPr>
          <w:rFonts w:ascii="Arial" w:hAnsi="Arial" w:cs="Arial"/>
          <w:sz w:val="21"/>
          <w:szCs w:val="21"/>
        </w:rPr>
        <w:t xml:space="preserve"> (Sixth Circuit, decided 22 August 2015); </w:t>
      </w:r>
      <w:r w:rsidRPr="000E5C25">
        <w:rPr>
          <w:rFonts w:ascii="Arial" w:hAnsi="Arial" w:cs="Arial"/>
          <w:i/>
          <w:sz w:val="21"/>
          <w:szCs w:val="21"/>
        </w:rPr>
        <w:t>Wheaton College v Burwell</w:t>
      </w:r>
      <w:r w:rsidRPr="000E5C25">
        <w:rPr>
          <w:rFonts w:ascii="Arial" w:hAnsi="Arial" w:cs="Arial"/>
          <w:sz w:val="21"/>
          <w:szCs w:val="21"/>
        </w:rPr>
        <w:t xml:space="preserve"> (Seventh Circuit, decided 1 July 2015); and </w:t>
      </w:r>
      <w:r w:rsidRPr="000E5C25">
        <w:rPr>
          <w:rFonts w:ascii="Arial" w:hAnsi="Arial" w:cs="Arial"/>
          <w:i/>
          <w:sz w:val="21"/>
          <w:szCs w:val="21"/>
        </w:rPr>
        <w:t>Eternal Word Television Network v. Burwell</w:t>
      </w:r>
      <w:r w:rsidRPr="000E5C25">
        <w:rPr>
          <w:rFonts w:ascii="Arial" w:hAnsi="Arial" w:cs="Arial"/>
          <w:sz w:val="21"/>
          <w:szCs w:val="21"/>
        </w:rPr>
        <w:t xml:space="preserve"> (Eleventh Circuit, decided 18 February 2016).</w:t>
      </w:r>
    </w:p>
    <w:p w14:paraId="46A66E34" w14:textId="77777777" w:rsidR="00412423" w:rsidRPr="000E5C25" w:rsidRDefault="00412423" w:rsidP="000E5C25">
      <w:pPr>
        <w:pStyle w:val="EndnoteText"/>
        <w:spacing w:line="160" w:lineRule="exact"/>
        <w:contextualSpacing/>
        <w:rPr>
          <w:rFonts w:ascii="Arial" w:hAnsi="Arial" w:cs="Arial"/>
          <w:sz w:val="21"/>
          <w:szCs w:val="21"/>
        </w:rPr>
      </w:pPr>
    </w:p>
  </w:endnote>
  <w:endnote w:id="12">
    <w:p w14:paraId="79DE8C7D" w14:textId="77777777" w:rsidR="00412423" w:rsidRPr="000E5C25" w:rsidRDefault="00412423" w:rsidP="00EE3EE3">
      <w:pPr>
        <w:autoSpaceDE w:val="0"/>
        <w:autoSpaceDN w:val="0"/>
        <w:adjustRightInd w:val="0"/>
        <w:spacing w:after="0"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 xml:space="preserve">] </w:t>
      </w:r>
      <w:r w:rsidRPr="000E5C25">
        <w:rPr>
          <w:rFonts w:ascii="Arial" w:hAnsi="Arial" w:cs="Arial"/>
          <w:sz w:val="21"/>
          <w:szCs w:val="21"/>
        </w:rPr>
        <w:t xml:space="preserve">In </w:t>
      </w:r>
      <w:r w:rsidRPr="000E5C25">
        <w:rPr>
          <w:rFonts w:ascii="Arial" w:hAnsi="Arial" w:cs="Arial"/>
          <w:i/>
          <w:sz w:val="21"/>
          <w:szCs w:val="21"/>
        </w:rPr>
        <w:t xml:space="preserve">Sharpe Holdings, </w:t>
      </w:r>
      <w:proofErr w:type="spellStart"/>
      <w:r w:rsidRPr="000E5C25">
        <w:rPr>
          <w:rFonts w:ascii="Arial" w:hAnsi="Arial" w:cs="Arial"/>
          <w:i/>
          <w:sz w:val="21"/>
          <w:szCs w:val="21"/>
        </w:rPr>
        <w:t>Inc</w:t>
      </w:r>
      <w:proofErr w:type="spellEnd"/>
      <w:r w:rsidRPr="000E5C25">
        <w:rPr>
          <w:rFonts w:ascii="Arial" w:hAnsi="Arial" w:cs="Arial"/>
          <w:i/>
          <w:sz w:val="21"/>
          <w:szCs w:val="21"/>
        </w:rPr>
        <w:t xml:space="preserve"> v United States Department of Health and Human Services</w:t>
      </w:r>
      <w:r w:rsidRPr="000E5C25">
        <w:rPr>
          <w:rFonts w:ascii="Arial" w:hAnsi="Arial" w:cs="Arial"/>
          <w:sz w:val="21"/>
          <w:szCs w:val="21"/>
        </w:rPr>
        <w:t xml:space="preserve"> and </w:t>
      </w:r>
      <w:proofErr w:type="spellStart"/>
      <w:r w:rsidRPr="000E5C25">
        <w:rPr>
          <w:rFonts w:ascii="Arial" w:hAnsi="Arial" w:cs="Arial"/>
          <w:i/>
          <w:sz w:val="21"/>
          <w:szCs w:val="21"/>
        </w:rPr>
        <w:t>Dordt</w:t>
      </w:r>
      <w:proofErr w:type="spellEnd"/>
      <w:r w:rsidRPr="000E5C25">
        <w:rPr>
          <w:rFonts w:ascii="Arial" w:hAnsi="Arial" w:cs="Arial"/>
          <w:i/>
          <w:sz w:val="21"/>
          <w:szCs w:val="21"/>
        </w:rPr>
        <w:t xml:space="preserve"> College v Burwell</w:t>
      </w:r>
      <w:r w:rsidRPr="000E5C25">
        <w:rPr>
          <w:rFonts w:ascii="Arial" w:hAnsi="Arial" w:cs="Arial"/>
          <w:sz w:val="21"/>
          <w:szCs w:val="21"/>
        </w:rPr>
        <w:t xml:space="preserve"> (both decided 17 September 2015).</w:t>
      </w:r>
    </w:p>
    <w:p w14:paraId="69C0A22D" w14:textId="77777777" w:rsidR="00412423" w:rsidRPr="000E5C25" w:rsidRDefault="00412423" w:rsidP="000E5C25">
      <w:pPr>
        <w:autoSpaceDE w:val="0"/>
        <w:autoSpaceDN w:val="0"/>
        <w:adjustRightInd w:val="0"/>
        <w:spacing w:after="0" w:line="160" w:lineRule="exact"/>
        <w:rPr>
          <w:rFonts w:ascii="Arial" w:hAnsi="Arial" w:cs="Arial"/>
          <w:sz w:val="21"/>
          <w:szCs w:val="21"/>
        </w:rPr>
      </w:pPr>
    </w:p>
  </w:endnote>
  <w:endnote w:id="13">
    <w:p w14:paraId="1E1A8179" w14:textId="77777777" w:rsidR="00412423" w:rsidRPr="000E5C25" w:rsidRDefault="00412423" w:rsidP="00EE3EE3">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North Dakota, South Dakota, Nebraska, Minnesota, Iowa, Missouri and Arkansas.</w:t>
      </w:r>
    </w:p>
    <w:p w14:paraId="79E5D2B9" w14:textId="77777777" w:rsidR="00412423" w:rsidRPr="000E5C25" w:rsidRDefault="00412423" w:rsidP="000E5C25">
      <w:pPr>
        <w:pStyle w:val="EndnoteText"/>
        <w:spacing w:line="160" w:lineRule="exact"/>
        <w:rPr>
          <w:rFonts w:ascii="Arial" w:hAnsi="Arial" w:cs="Arial"/>
          <w:sz w:val="21"/>
          <w:szCs w:val="21"/>
        </w:rPr>
      </w:pPr>
    </w:p>
  </w:endnote>
  <w:endnote w:id="14">
    <w:p w14:paraId="00D20643" w14:textId="77777777" w:rsidR="00412423" w:rsidRPr="000E5C25" w:rsidRDefault="00412423" w:rsidP="005627D5">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The last time such an order was made was in </w:t>
      </w:r>
      <w:r w:rsidRPr="000E5C25">
        <w:rPr>
          <w:rFonts w:ascii="Arial" w:hAnsi="Arial" w:cs="Arial"/>
          <w:i/>
          <w:sz w:val="21"/>
          <w:szCs w:val="21"/>
        </w:rPr>
        <w:t>Brown v Board of Education</w:t>
      </w:r>
      <w:r w:rsidRPr="000E5C25">
        <w:rPr>
          <w:rFonts w:ascii="Arial" w:hAnsi="Arial" w:cs="Arial"/>
          <w:sz w:val="21"/>
          <w:szCs w:val="21"/>
        </w:rPr>
        <w:t>, 787 F. 3rd 483 (1954).</w:t>
      </w:r>
    </w:p>
  </w:endnote>
  <w:endnote w:id="15">
    <w:p w14:paraId="1446DFFB" w14:textId="77777777" w:rsidR="00412423" w:rsidRPr="000E5C25" w:rsidRDefault="00412423" w:rsidP="000E5C25">
      <w:pPr>
        <w:pStyle w:val="EndnoteText"/>
        <w:spacing w:line="160" w:lineRule="exact"/>
        <w:rPr>
          <w:rFonts w:ascii="Arial" w:hAnsi="Arial" w:cs="Arial"/>
          <w:sz w:val="21"/>
          <w:szCs w:val="21"/>
        </w:rPr>
      </w:pPr>
    </w:p>
    <w:p w14:paraId="7E0B5707" w14:textId="77777777" w:rsidR="00412423" w:rsidRPr="000E5C25" w:rsidRDefault="00412423" w:rsidP="00EE3EE3">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Issued 29 March 2016 (sub nom </w:t>
      </w:r>
      <w:r w:rsidRPr="000E5C25">
        <w:rPr>
          <w:rFonts w:ascii="Arial" w:hAnsi="Arial" w:cs="Arial"/>
          <w:i/>
          <w:sz w:val="21"/>
          <w:szCs w:val="21"/>
        </w:rPr>
        <w:t>Geneva College v Burwell</w:t>
      </w:r>
      <w:r w:rsidRPr="000E5C25">
        <w:rPr>
          <w:rFonts w:ascii="Arial" w:hAnsi="Arial" w:cs="Arial"/>
          <w:sz w:val="21"/>
          <w:szCs w:val="21"/>
        </w:rPr>
        <w:t>).</w:t>
      </w:r>
    </w:p>
    <w:p w14:paraId="1416B1C0" w14:textId="77777777" w:rsidR="00412423" w:rsidRPr="000E5C25" w:rsidRDefault="00412423" w:rsidP="000E5C25">
      <w:pPr>
        <w:pStyle w:val="EndnoteText"/>
        <w:spacing w:line="160" w:lineRule="exact"/>
        <w:rPr>
          <w:rFonts w:ascii="Arial" w:hAnsi="Arial" w:cs="Arial"/>
          <w:sz w:val="21"/>
          <w:szCs w:val="21"/>
        </w:rPr>
      </w:pPr>
    </w:p>
  </w:endnote>
  <w:endnote w:id="16">
    <w:p w14:paraId="45ADDAE8" w14:textId="77777777" w:rsidR="00412423" w:rsidRPr="000E5C25" w:rsidRDefault="00412423" w:rsidP="00EE3EE3">
      <w:pPr>
        <w:pStyle w:val="EndnoteText"/>
        <w:spacing w:line="280" w:lineRule="exact"/>
        <w:contextualSpacing/>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See Michael Coper, “Tied vote”, in Tony Blackshield, Michael Coper and George Williams (</w:t>
      </w:r>
      <w:proofErr w:type="spellStart"/>
      <w:r w:rsidRPr="000E5C25">
        <w:rPr>
          <w:rFonts w:ascii="Arial" w:hAnsi="Arial" w:cs="Arial"/>
          <w:sz w:val="21"/>
          <w:szCs w:val="21"/>
        </w:rPr>
        <w:t>eds</w:t>
      </w:r>
      <w:proofErr w:type="spellEnd"/>
      <w:r w:rsidRPr="000E5C25">
        <w:rPr>
          <w:rFonts w:ascii="Arial" w:hAnsi="Arial" w:cs="Arial"/>
          <w:sz w:val="21"/>
          <w:szCs w:val="21"/>
        </w:rPr>
        <w:t xml:space="preserve">), </w:t>
      </w:r>
      <w:r w:rsidRPr="000E5C25">
        <w:rPr>
          <w:rFonts w:ascii="Arial" w:hAnsi="Arial" w:cs="Arial"/>
          <w:i/>
          <w:sz w:val="21"/>
          <w:szCs w:val="21"/>
        </w:rPr>
        <w:t xml:space="preserve">The Oxford Companion to the High Court of Australia </w:t>
      </w:r>
      <w:r w:rsidRPr="000E5C25">
        <w:rPr>
          <w:rFonts w:ascii="Arial" w:hAnsi="Arial" w:cs="Arial"/>
          <w:sz w:val="21"/>
          <w:szCs w:val="21"/>
        </w:rPr>
        <w:t>(2001) 671-73.</w:t>
      </w:r>
    </w:p>
    <w:p w14:paraId="39B3CD0D" w14:textId="77777777" w:rsidR="00412423" w:rsidRPr="000E5C25" w:rsidRDefault="00412423" w:rsidP="000E5C25">
      <w:pPr>
        <w:pStyle w:val="EndnoteText"/>
        <w:spacing w:line="160" w:lineRule="exact"/>
        <w:contextualSpacing/>
        <w:rPr>
          <w:rFonts w:ascii="Arial" w:hAnsi="Arial" w:cs="Arial"/>
          <w:sz w:val="21"/>
          <w:szCs w:val="21"/>
        </w:rPr>
      </w:pPr>
    </w:p>
  </w:endnote>
  <w:endnote w:id="17">
    <w:p w14:paraId="41CE2C3C" w14:textId="77777777" w:rsidR="00412423" w:rsidRPr="000E5C25" w:rsidRDefault="00412423" w:rsidP="00EE3EE3">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Montana v Wyoming</w:t>
      </w:r>
      <w:r w:rsidRPr="000E5C25">
        <w:rPr>
          <w:rFonts w:ascii="Arial" w:hAnsi="Arial" w:cs="Arial"/>
          <w:sz w:val="21"/>
          <w:szCs w:val="21"/>
        </w:rPr>
        <w:t xml:space="preserve"> (result announced 21 March 2016).</w:t>
      </w:r>
    </w:p>
    <w:p w14:paraId="1D83E2B3" w14:textId="77777777" w:rsidR="00412423" w:rsidRPr="000E5C25" w:rsidRDefault="00412423" w:rsidP="000E5C25">
      <w:pPr>
        <w:pStyle w:val="EndnoteText"/>
        <w:spacing w:line="160" w:lineRule="exact"/>
        <w:rPr>
          <w:rFonts w:ascii="Arial" w:hAnsi="Arial" w:cs="Arial"/>
          <w:sz w:val="21"/>
          <w:szCs w:val="21"/>
        </w:rPr>
      </w:pPr>
    </w:p>
  </w:endnote>
  <w:endnote w:id="18">
    <w:p w14:paraId="679CABE4" w14:textId="77777777" w:rsidR="00412423" w:rsidRPr="000E5C25" w:rsidRDefault="00412423" w:rsidP="00EE3EE3">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554 US 570 at 582 (2008).</w:t>
      </w:r>
      <w:proofErr w:type="gramEnd"/>
    </w:p>
    <w:p w14:paraId="007B32E2" w14:textId="77777777" w:rsidR="00412423" w:rsidRPr="000E5C25" w:rsidRDefault="00412423" w:rsidP="000E5C25">
      <w:pPr>
        <w:pStyle w:val="EndnoteText"/>
        <w:spacing w:line="160" w:lineRule="exact"/>
        <w:rPr>
          <w:rFonts w:ascii="Arial" w:hAnsi="Arial" w:cs="Arial"/>
          <w:sz w:val="21"/>
          <w:szCs w:val="21"/>
        </w:rPr>
      </w:pPr>
    </w:p>
  </w:endnote>
  <w:endnote w:id="19">
    <w:p w14:paraId="115BAE8B" w14:textId="77777777" w:rsidR="00412423" w:rsidRPr="000E5C25" w:rsidRDefault="00412423" w:rsidP="00EE3EE3">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Nebraska v Parker</w:t>
      </w:r>
      <w:r w:rsidRPr="000E5C25">
        <w:rPr>
          <w:rFonts w:ascii="Arial" w:hAnsi="Arial" w:cs="Arial"/>
          <w:sz w:val="21"/>
          <w:szCs w:val="21"/>
        </w:rPr>
        <w:t xml:space="preserve"> (argued 20 January 2016, decided 22 March 2016).</w:t>
      </w:r>
      <w:proofErr w:type="gramEnd"/>
    </w:p>
    <w:p w14:paraId="0543C4F2" w14:textId="77777777" w:rsidR="00412423" w:rsidRPr="000E5C25" w:rsidRDefault="00412423" w:rsidP="000E5C25">
      <w:pPr>
        <w:pStyle w:val="EndnoteText"/>
        <w:tabs>
          <w:tab w:val="left" w:pos="1346"/>
        </w:tabs>
        <w:spacing w:line="160" w:lineRule="exact"/>
        <w:rPr>
          <w:rFonts w:ascii="Arial" w:hAnsi="Arial" w:cs="Arial"/>
          <w:sz w:val="21"/>
          <w:szCs w:val="21"/>
        </w:rPr>
      </w:pPr>
    </w:p>
  </w:endnote>
  <w:endnote w:id="20">
    <w:p w14:paraId="13E72A9B" w14:textId="77777777" w:rsidR="00412423" w:rsidRPr="000E5C25" w:rsidRDefault="00412423" w:rsidP="00EE3EE3">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Sturgeon v Frost</w:t>
      </w:r>
      <w:r w:rsidRPr="000E5C25">
        <w:rPr>
          <w:rFonts w:ascii="Arial" w:hAnsi="Arial" w:cs="Arial"/>
          <w:sz w:val="21"/>
          <w:szCs w:val="21"/>
        </w:rPr>
        <w:t xml:space="preserve"> (argued 20 January 2016, decided 22 March 2016).</w:t>
      </w:r>
      <w:proofErr w:type="gramEnd"/>
    </w:p>
    <w:p w14:paraId="265A3E5C" w14:textId="77777777" w:rsidR="00412423" w:rsidRPr="000E5C25" w:rsidRDefault="00412423" w:rsidP="000E5C25">
      <w:pPr>
        <w:pStyle w:val="EndnoteText"/>
        <w:spacing w:line="160" w:lineRule="exact"/>
        <w:rPr>
          <w:rFonts w:ascii="Arial" w:hAnsi="Arial" w:cs="Arial"/>
          <w:sz w:val="21"/>
          <w:szCs w:val="21"/>
        </w:rPr>
      </w:pPr>
    </w:p>
  </w:endnote>
  <w:endnote w:id="21">
    <w:p w14:paraId="6F171A89" w14:textId="77777777" w:rsidR="00412423" w:rsidRPr="000E5C25" w:rsidRDefault="00412423" w:rsidP="00EE3EE3">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 xml:space="preserve">Tyson Foods </w:t>
      </w:r>
      <w:proofErr w:type="spellStart"/>
      <w:r w:rsidRPr="000E5C25">
        <w:rPr>
          <w:rFonts w:ascii="Arial" w:hAnsi="Arial" w:cs="Arial"/>
          <w:i/>
          <w:sz w:val="21"/>
          <w:szCs w:val="21"/>
        </w:rPr>
        <w:t>Inc</w:t>
      </w:r>
      <w:proofErr w:type="spellEnd"/>
      <w:r w:rsidRPr="000E5C25">
        <w:rPr>
          <w:rFonts w:ascii="Arial" w:hAnsi="Arial" w:cs="Arial"/>
          <w:i/>
          <w:sz w:val="21"/>
          <w:szCs w:val="21"/>
        </w:rPr>
        <w:t xml:space="preserve"> v </w:t>
      </w:r>
      <w:proofErr w:type="spellStart"/>
      <w:r w:rsidRPr="000E5C25">
        <w:rPr>
          <w:rFonts w:ascii="Arial" w:hAnsi="Arial" w:cs="Arial"/>
          <w:i/>
          <w:sz w:val="21"/>
          <w:szCs w:val="21"/>
        </w:rPr>
        <w:t>Bouaphakeo</w:t>
      </w:r>
      <w:proofErr w:type="spellEnd"/>
      <w:r w:rsidRPr="000E5C25">
        <w:rPr>
          <w:rFonts w:ascii="Arial" w:hAnsi="Arial" w:cs="Arial"/>
          <w:sz w:val="21"/>
          <w:szCs w:val="21"/>
        </w:rPr>
        <w:t xml:space="preserve"> (argued 10 November 1215, decided 22 March 2016).</w:t>
      </w:r>
      <w:proofErr w:type="gramEnd"/>
    </w:p>
    <w:p w14:paraId="6461EA6C" w14:textId="77777777" w:rsidR="00412423" w:rsidRPr="000E5C25" w:rsidRDefault="00412423" w:rsidP="000E5C25">
      <w:pPr>
        <w:pStyle w:val="EndnoteText"/>
        <w:spacing w:line="160" w:lineRule="exact"/>
        <w:rPr>
          <w:rFonts w:ascii="Arial" w:hAnsi="Arial" w:cs="Arial"/>
          <w:sz w:val="21"/>
          <w:szCs w:val="21"/>
        </w:rPr>
      </w:pPr>
    </w:p>
  </w:endnote>
  <w:endnote w:id="22">
    <w:p w14:paraId="1B6B2201" w14:textId="77777777" w:rsidR="00412423" w:rsidRPr="000E5C25" w:rsidRDefault="00412423" w:rsidP="008A083B">
      <w:pPr>
        <w:pStyle w:val="CM39"/>
        <w:spacing w:line="280" w:lineRule="exact"/>
        <w:rPr>
          <w:rFonts w:ascii="Arial" w:hAnsi="Arial" w:cs="Arial"/>
          <w:color w:val="000000"/>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color w:val="000000"/>
          <w:sz w:val="21"/>
          <w:szCs w:val="21"/>
        </w:rPr>
        <w:t xml:space="preserve">Luis </w:t>
      </w:r>
      <w:r w:rsidRPr="000E5C25">
        <w:rPr>
          <w:rFonts w:ascii="Arial" w:hAnsi="Arial" w:cs="Arial"/>
          <w:i/>
          <w:iCs/>
          <w:color w:val="000000"/>
          <w:sz w:val="21"/>
          <w:szCs w:val="21"/>
        </w:rPr>
        <w:t>v</w:t>
      </w:r>
      <w:r w:rsidRPr="000E5C25">
        <w:rPr>
          <w:rFonts w:ascii="Arial" w:hAnsi="Arial" w:cs="Arial"/>
          <w:i/>
          <w:color w:val="000000"/>
          <w:sz w:val="21"/>
          <w:szCs w:val="21"/>
        </w:rPr>
        <w:t xml:space="preserve"> United States</w:t>
      </w:r>
      <w:r w:rsidRPr="000E5C25">
        <w:rPr>
          <w:rFonts w:ascii="Arial" w:hAnsi="Arial" w:cs="Arial"/>
          <w:color w:val="000000"/>
          <w:sz w:val="21"/>
          <w:szCs w:val="21"/>
        </w:rPr>
        <w:t xml:space="preserve"> (argued 10 November 2015; decided 30 March 2016).</w:t>
      </w:r>
      <w:proofErr w:type="gramEnd"/>
    </w:p>
    <w:p w14:paraId="780441FF" w14:textId="77777777" w:rsidR="00412423" w:rsidRPr="000E5C25" w:rsidRDefault="00412423" w:rsidP="000E5C25">
      <w:pPr>
        <w:pStyle w:val="Default"/>
        <w:spacing w:line="160" w:lineRule="exact"/>
        <w:rPr>
          <w:rFonts w:ascii="Arial" w:hAnsi="Arial" w:cs="Arial"/>
          <w:sz w:val="21"/>
          <w:szCs w:val="21"/>
          <w:lang w:eastAsia="en-AU"/>
        </w:rPr>
      </w:pPr>
    </w:p>
  </w:endnote>
  <w:endnote w:id="23">
    <w:p w14:paraId="5664D855" w14:textId="77777777" w:rsidR="00412423" w:rsidRPr="000E5C25" w:rsidRDefault="00412423" w:rsidP="008A083B">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See especially </w:t>
      </w:r>
      <w:r w:rsidRPr="000E5C25">
        <w:rPr>
          <w:rFonts w:ascii="Arial" w:hAnsi="Arial" w:cs="Arial"/>
          <w:i/>
          <w:sz w:val="21"/>
          <w:szCs w:val="21"/>
        </w:rPr>
        <w:t>United States v Monsanto</w:t>
      </w:r>
      <w:r w:rsidRPr="000E5C25">
        <w:rPr>
          <w:rFonts w:ascii="Arial" w:hAnsi="Arial" w:cs="Arial"/>
          <w:sz w:val="21"/>
          <w:szCs w:val="21"/>
        </w:rPr>
        <w:t>, 491 US 600 (1989).</w:t>
      </w:r>
    </w:p>
  </w:endnote>
  <w:endnote w:id="24">
    <w:p w14:paraId="75CC2917" w14:textId="77777777" w:rsidR="00412423" w:rsidRPr="000E5C25" w:rsidRDefault="00412423" w:rsidP="000E5C25">
      <w:pPr>
        <w:pStyle w:val="EndnoteText"/>
        <w:spacing w:line="160" w:lineRule="exact"/>
        <w:rPr>
          <w:rFonts w:ascii="Arial" w:hAnsi="Arial" w:cs="Arial"/>
          <w:sz w:val="21"/>
          <w:szCs w:val="21"/>
        </w:rPr>
      </w:pPr>
    </w:p>
    <w:p w14:paraId="34514CFE" w14:textId="77777777" w:rsidR="00412423" w:rsidRPr="000E5C25" w:rsidRDefault="00412423" w:rsidP="008A083B">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 xml:space="preserve">Woods v </w:t>
      </w:r>
      <w:proofErr w:type="spellStart"/>
      <w:r w:rsidRPr="000E5C25">
        <w:rPr>
          <w:rFonts w:ascii="Arial" w:hAnsi="Arial" w:cs="Arial"/>
          <w:i/>
          <w:sz w:val="21"/>
          <w:szCs w:val="21"/>
        </w:rPr>
        <w:t>Etherton</w:t>
      </w:r>
      <w:proofErr w:type="spellEnd"/>
      <w:r w:rsidRPr="000E5C25">
        <w:rPr>
          <w:rFonts w:ascii="Arial" w:hAnsi="Arial" w:cs="Arial"/>
          <w:sz w:val="21"/>
          <w:szCs w:val="21"/>
        </w:rPr>
        <w:t xml:space="preserve"> (decided 4 April 2016).</w:t>
      </w:r>
      <w:proofErr w:type="gramEnd"/>
    </w:p>
  </w:endnote>
  <w:endnote w:id="25">
    <w:p w14:paraId="2E038D02" w14:textId="77777777" w:rsidR="00412423" w:rsidRPr="000E5C25" w:rsidRDefault="00412423" w:rsidP="000E5C25">
      <w:pPr>
        <w:pStyle w:val="EndnoteText"/>
        <w:spacing w:line="160" w:lineRule="exact"/>
        <w:rPr>
          <w:rFonts w:ascii="Arial" w:hAnsi="Arial" w:cs="Arial"/>
          <w:sz w:val="21"/>
          <w:szCs w:val="21"/>
        </w:rPr>
      </w:pPr>
    </w:p>
    <w:p w14:paraId="59454C4F" w14:textId="77777777" w:rsidR="00412423" w:rsidRPr="000E5C25" w:rsidRDefault="00412423" w:rsidP="008A083B">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gramStart"/>
      <w:r w:rsidRPr="000E5C25">
        <w:rPr>
          <w:rStyle w:val="Emphasis"/>
          <w:rFonts w:ascii="Arial" w:hAnsi="Arial" w:cs="Arial"/>
          <w:b w:val="0"/>
          <w:i/>
          <w:sz w:val="21"/>
          <w:szCs w:val="21"/>
          <w:lang w:val="en"/>
        </w:rPr>
        <w:t>Etherton</w:t>
      </w:r>
      <w:r w:rsidRPr="000E5C25">
        <w:rPr>
          <w:rFonts w:ascii="Arial" w:hAnsi="Arial" w:cs="Arial"/>
          <w:b/>
          <w:i/>
          <w:sz w:val="21"/>
          <w:szCs w:val="21"/>
          <w:lang w:val="en"/>
        </w:rPr>
        <w:t xml:space="preserve"> </w:t>
      </w:r>
      <w:r w:rsidRPr="000E5C25">
        <w:rPr>
          <w:rFonts w:ascii="Arial" w:hAnsi="Arial" w:cs="Arial"/>
          <w:i/>
          <w:sz w:val="21"/>
          <w:szCs w:val="21"/>
          <w:lang w:val="en"/>
        </w:rPr>
        <w:t>v</w:t>
      </w:r>
      <w:r w:rsidRPr="000E5C25">
        <w:rPr>
          <w:rFonts w:ascii="Arial" w:hAnsi="Arial" w:cs="Arial"/>
          <w:b/>
          <w:i/>
          <w:sz w:val="21"/>
          <w:szCs w:val="21"/>
          <w:lang w:val="en"/>
        </w:rPr>
        <w:t xml:space="preserve"> </w:t>
      </w:r>
      <w:r w:rsidRPr="000E5C25">
        <w:rPr>
          <w:rStyle w:val="Emphasis"/>
          <w:rFonts w:ascii="Arial" w:hAnsi="Arial" w:cs="Arial"/>
          <w:b w:val="0"/>
          <w:i/>
          <w:sz w:val="21"/>
          <w:szCs w:val="21"/>
          <w:lang w:val="en"/>
        </w:rPr>
        <w:t>Rivard</w:t>
      </w:r>
      <w:r w:rsidRPr="000E5C25">
        <w:rPr>
          <w:rFonts w:ascii="Arial" w:hAnsi="Arial" w:cs="Arial"/>
          <w:sz w:val="21"/>
          <w:szCs w:val="21"/>
          <w:lang w:val="en"/>
        </w:rPr>
        <w:t>, 800 F. 3d 737 (2015).</w:t>
      </w:r>
      <w:proofErr w:type="gramEnd"/>
    </w:p>
  </w:endnote>
  <w:endnote w:id="26">
    <w:p w14:paraId="528D5095" w14:textId="77777777" w:rsidR="00412423" w:rsidRPr="000E5C25" w:rsidRDefault="00412423" w:rsidP="000E5C25">
      <w:pPr>
        <w:pStyle w:val="EndnoteText"/>
        <w:spacing w:line="160" w:lineRule="exact"/>
        <w:rPr>
          <w:rFonts w:ascii="Arial" w:hAnsi="Arial" w:cs="Arial"/>
          <w:sz w:val="21"/>
          <w:szCs w:val="21"/>
        </w:rPr>
      </w:pPr>
    </w:p>
    <w:p w14:paraId="125954D3" w14:textId="77777777" w:rsidR="00412423" w:rsidRPr="000E5C25" w:rsidRDefault="00412423" w:rsidP="008A083B">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r w:rsidRPr="000E5C25">
        <w:rPr>
          <w:rFonts w:ascii="Arial" w:hAnsi="Arial" w:cs="Arial"/>
          <w:i/>
          <w:sz w:val="21"/>
          <w:szCs w:val="21"/>
        </w:rPr>
        <w:t>Nichols v United States</w:t>
      </w:r>
      <w:r w:rsidRPr="000E5C25">
        <w:rPr>
          <w:rFonts w:ascii="Arial" w:hAnsi="Arial" w:cs="Arial"/>
          <w:sz w:val="21"/>
          <w:szCs w:val="21"/>
        </w:rPr>
        <w:t xml:space="preserve"> (argued 1 March 2016, decided 4 April 2016).</w:t>
      </w:r>
      <w:proofErr w:type="gramEnd"/>
    </w:p>
  </w:endnote>
  <w:endnote w:id="27">
    <w:p w14:paraId="0817DD53" w14:textId="77777777" w:rsidR="00412423" w:rsidRPr="000E5C25" w:rsidRDefault="00412423" w:rsidP="000E5C25">
      <w:pPr>
        <w:pStyle w:val="EndnoteText"/>
        <w:spacing w:line="160" w:lineRule="exact"/>
        <w:rPr>
          <w:rFonts w:ascii="Arial" w:hAnsi="Arial" w:cs="Arial"/>
          <w:sz w:val="21"/>
          <w:szCs w:val="21"/>
        </w:rPr>
      </w:pPr>
    </w:p>
    <w:p w14:paraId="1692753F" w14:textId="77777777" w:rsidR="00412423" w:rsidRPr="000E5C25" w:rsidRDefault="00412423" w:rsidP="008A083B">
      <w:pPr>
        <w:pStyle w:val="EndnoteText"/>
        <w:spacing w:line="280" w:lineRule="exact"/>
        <w:rPr>
          <w:rFonts w:ascii="Arial" w:hAnsi="Arial" w:cs="Arial"/>
          <w:sz w:val="21"/>
          <w:szCs w:val="21"/>
        </w:rPr>
      </w:pPr>
      <w:r w:rsidRPr="000E5C25">
        <w:rPr>
          <w:rFonts w:ascii="Arial" w:hAnsi="Arial" w:cs="Arial"/>
          <w:color w:val="392B7D"/>
          <w:sz w:val="21"/>
          <w:szCs w:val="21"/>
        </w:rPr>
        <w:t>[</w:t>
      </w:r>
      <w:r w:rsidRPr="00226E6C">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It was common ground that the offender could have been convicted under Kansas state law, and during argument Justice Ginsburg had suggested that extradition should have been “sought under that [provision] which is clear and certain instead of a provision where there has to be a strained interpretation”.</w:t>
      </w:r>
    </w:p>
  </w:endnote>
  <w:endnote w:id="28">
    <w:p w14:paraId="0BA8BF4B" w14:textId="77777777" w:rsidR="00412423" w:rsidRPr="000E5C25" w:rsidRDefault="00412423" w:rsidP="000E5C25">
      <w:pPr>
        <w:pStyle w:val="EndnoteText"/>
        <w:spacing w:line="160" w:lineRule="exact"/>
        <w:rPr>
          <w:rFonts w:ascii="Arial" w:hAnsi="Arial" w:cs="Arial"/>
          <w:sz w:val="21"/>
          <w:szCs w:val="21"/>
        </w:rPr>
      </w:pPr>
    </w:p>
    <w:p w14:paraId="63BF45B5" w14:textId="77777777" w:rsidR="00412423" w:rsidRPr="000E5C25" w:rsidRDefault="00412423" w:rsidP="008A083B">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spellStart"/>
      <w:r w:rsidRPr="000E5C25">
        <w:rPr>
          <w:rFonts w:ascii="Arial" w:hAnsi="Arial" w:cs="Arial"/>
          <w:i/>
          <w:sz w:val="21"/>
          <w:szCs w:val="21"/>
        </w:rPr>
        <w:t>Evenwel</w:t>
      </w:r>
      <w:proofErr w:type="spellEnd"/>
      <w:r w:rsidRPr="000E5C25">
        <w:rPr>
          <w:rFonts w:ascii="Arial" w:hAnsi="Arial" w:cs="Arial"/>
          <w:i/>
          <w:sz w:val="21"/>
          <w:szCs w:val="21"/>
        </w:rPr>
        <w:t xml:space="preserve"> v Abbott</w:t>
      </w:r>
      <w:r w:rsidRPr="000E5C25">
        <w:rPr>
          <w:rFonts w:ascii="Arial" w:hAnsi="Arial" w:cs="Arial"/>
          <w:sz w:val="21"/>
          <w:szCs w:val="21"/>
        </w:rPr>
        <w:t xml:space="preserve"> (argued 8 December 2015, decided 4 April 2016).</w:t>
      </w:r>
      <w:proofErr w:type="gramEnd"/>
    </w:p>
  </w:endnote>
  <w:endnote w:id="29">
    <w:p w14:paraId="3BE22A10" w14:textId="77777777" w:rsidR="00412423" w:rsidRPr="000E5C25" w:rsidRDefault="00412423" w:rsidP="000E5C25">
      <w:pPr>
        <w:pStyle w:val="EndnoteText"/>
        <w:spacing w:line="160" w:lineRule="exact"/>
        <w:rPr>
          <w:rFonts w:ascii="Arial" w:hAnsi="Arial" w:cs="Arial"/>
          <w:sz w:val="21"/>
          <w:szCs w:val="21"/>
        </w:rPr>
      </w:pPr>
    </w:p>
    <w:p w14:paraId="6E748492" w14:textId="77777777" w:rsidR="00412423" w:rsidRPr="000E5C25" w:rsidRDefault="00412423" w:rsidP="008C41BA">
      <w:pPr>
        <w:pStyle w:val="EndnoteText"/>
        <w:spacing w:line="280" w:lineRule="exact"/>
        <w:rPr>
          <w:rFonts w:ascii="Arial" w:hAnsi="Arial" w:cs="Arial"/>
          <w:sz w:val="21"/>
          <w:szCs w:val="21"/>
        </w:rPr>
      </w:pPr>
      <w:proofErr w:type="gramStart"/>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spellStart"/>
      <w:r w:rsidRPr="000E5C25">
        <w:rPr>
          <w:rFonts w:ascii="Arial" w:hAnsi="Arial" w:cs="Arial"/>
          <w:i/>
          <w:sz w:val="21"/>
          <w:szCs w:val="21"/>
        </w:rPr>
        <w:t>Wesberry</w:t>
      </w:r>
      <w:proofErr w:type="spellEnd"/>
      <w:r w:rsidRPr="000E5C25">
        <w:rPr>
          <w:rFonts w:ascii="Arial" w:hAnsi="Arial" w:cs="Arial"/>
          <w:i/>
          <w:sz w:val="21"/>
          <w:szCs w:val="21"/>
        </w:rPr>
        <w:t xml:space="preserve"> v Sanders</w:t>
      </w:r>
      <w:r w:rsidRPr="000E5C25">
        <w:rPr>
          <w:rFonts w:ascii="Arial" w:hAnsi="Arial" w:cs="Arial"/>
          <w:sz w:val="21"/>
          <w:szCs w:val="21"/>
        </w:rPr>
        <w:t xml:space="preserve">, 376 US 1 (1964); </w:t>
      </w:r>
      <w:r w:rsidRPr="000E5C25">
        <w:rPr>
          <w:rFonts w:ascii="Arial" w:hAnsi="Arial" w:cs="Arial"/>
          <w:i/>
          <w:sz w:val="21"/>
          <w:szCs w:val="21"/>
        </w:rPr>
        <w:t>Reynolds v Sims</w:t>
      </w:r>
      <w:r w:rsidRPr="000E5C25">
        <w:rPr>
          <w:rFonts w:ascii="Arial" w:hAnsi="Arial" w:cs="Arial"/>
          <w:sz w:val="21"/>
          <w:szCs w:val="21"/>
        </w:rPr>
        <w:t>, 377 US 533 (1964).</w:t>
      </w:r>
      <w:proofErr w:type="gramEnd"/>
    </w:p>
  </w:endnote>
  <w:endnote w:id="30">
    <w:p w14:paraId="070ED04D" w14:textId="77777777" w:rsidR="00412423" w:rsidRPr="000E5C25" w:rsidRDefault="00412423" w:rsidP="000E5C25">
      <w:pPr>
        <w:pStyle w:val="EndnoteText"/>
        <w:spacing w:line="160" w:lineRule="exact"/>
        <w:rPr>
          <w:rFonts w:ascii="Arial" w:hAnsi="Arial" w:cs="Arial"/>
          <w:sz w:val="21"/>
          <w:szCs w:val="21"/>
        </w:rPr>
      </w:pPr>
    </w:p>
    <w:p w14:paraId="5E59C5CE" w14:textId="77777777" w:rsidR="00412423" w:rsidRPr="000E5C25" w:rsidRDefault="00412423" w:rsidP="008C41BA">
      <w:pPr>
        <w:pStyle w:val="EndnoteText"/>
        <w:spacing w:line="280" w:lineRule="exact"/>
        <w:rPr>
          <w:rFonts w:ascii="Arial" w:hAnsi="Arial" w:cs="Arial"/>
          <w:sz w:val="21"/>
          <w:szCs w:val="21"/>
        </w:rPr>
      </w:pPr>
      <w:r w:rsidRPr="000E5C25">
        <w:rPr>
          <w:rFonts w:ascii="Arial" w:hAnsi="Arial" w:cs="Arial"/>
          <w:color w:val="392B7D"/>
          <w:sz w:val="21"/>
          <w:szCs w:val="21"/>
        </w:rPr>
        <w:t>[</w:t>
      </w:r>
      <w:r w:rsidRPr="000E5C25">
        <w:rPr>
          <w:rStyle w:val="EndnoteReference"/>
          <w:rFonts w:ascii="Arial" w:hAnsi="Arial" w:cs="Arial"/>
          <w:color w:val="392B7D"/>
          <w:sz w:val="21"/>
          <w:szCs w:val="21"/>
          <w:vertAlign w:val="baseline"/>
        </w:rPr>
        <w:endnoteRef/>
      </w:r>
      <w:r w:rsidRPr="000E5C25">
        <w:rPr>
          <w:rFonts w:ascii="Arial" w:hAnsi="Arial" w:cs="Arial"/>
          <w:color w:val="392B7D"/>
          <w:sz w:val="21"/>
          <w:szCs w:val="21"/>
        </w:rPr>
        <w:t>]</w:t>
      </w:r>
      <w:r w:rsidRPr="000E5C25">
        <w:rPr>
          <w:rFonts w:ascii="Arial" w:hAnsi="Arial" w:cs="Arial"/>
          <w:sz w:val="21"/>
          <w:szCs w:val="21"/>
        </w:rPr>
        <w:t xml:space="preserve"> </w:t>
      </w:r>
      <w:proofErr w:type="gramStart"/>
      <w:r w:rsidRPr="000E5C25">
        <w:rPr>
          <w:rFonts w:ascii="Arial" w:hAnsi="Arial" w:cs="Arial"/>
          <w:i/>
          <w:sz w:val="21"/>
          <w:szCs w:val="21"/>
        </w:rPr>
        <w:t>Attorney-General (</w:t>
      </w:r>
      <w:proofErr w:type="spellStart"/>
      <w:r w:rsidRPr="000E5C25">
        <w:rPr>
          <w:rFonts w:ascii="Arial" w:hAnsi="Arial" w:cs="Arial"/>
          <w:i/>
          <w:sz w:val="21"/>
          <w:szCs w:val="21"/>
        </w:rPr>
        <w:t>Cth</w:t>
      </w:r>
      <w:proofErr w:type="spellEnd"/>
      <w:r w:rsidRPr="000E5C25">
        <w:rPr>
          <w:rFonts w:ascii="Arial" w:hAnsi="Arial" w:cs="Arial"/>
          <w:i/>
          <w:sz w:val="21"/>
          <w:szCs w:val="21"/>
        </w:rPr>
        <w:t xml:space="preserve">) (Ex rel. </w:t>
      </w:r>
      <w:proofErr w:type="spellStart"/>
      <w:r w:rsidRPr="000E5C25">
        <w:rPr>
          <w:rFonts w:ascii="Arial" w:hAnsi="Arial" w:cs="Arial"/>
          <w:i/>
          <w:sz w:val="21"/>
          <w:szCs w:val="21"/>
        </w:rPr>
        <w:t>McKinlay</w:t>
      </w:r>
      <w:proofErr w:type="spellEnd"/>
      <w:r w:rsidRPr="000E5C25">
        <w:rPr>
          <w:rFonts w:ascii="Arial" w:hAnsi="Arial" w:cs="Arial"/>
          <w:i/>
          <w:sz w:val="21"/>
          <w:szCs w:val="21"/>
        </w:rPr>
        <w:t>) v Commonwealth</w:t>
      </w:r>
      <w:r w:rsidRPr="000E5C25">
        <w:rPr>
          <w:rFonts w:ascii="Arial" w:hAnsi="Arial" w:cs="Arial"/>
          <w:sz w:val="21"/>
          <w:szCs w:val="21"/>
        </w:rPr>
        <w:t xml:space="preserve"> (1975)</w:t>
      </w:r>
      <w:r>
        <w:rPr>
          <w:rFonts w:ascii="Arial" w:hAnsi="Arial" w:cs="Arial"/>
          <w:sz w:val="21"/>
          <w:szCs w:val="21"/>
        </w:rPr>
        <w:t xml:space="preserve"> </w:t>
      </w:r>
      <w:r w:rsidRPr="000E5C25">
        <w:rPr>
          <w:rFonts w:ascii="Arial" w:hAnsi="Arial" w:cs="Arial"/>
          <w:sz w:val="21"/>
          <w:szCs w:val="21"/>
        </w:rPr>
        <w:t>135 CLR 1, at 70.</w:t>
      </w:r>
      <w:proofErr w:type="gramEnd"/>
      <w:r w:rsidRPr="000E5C25">
        <w:rPr>
          <w:rFonts w:ascii="Arial" w:hAnsi="Arial" w:cs="Arial"/>
          <w:sz w:val="21"/>
          <w:szCs w:val="21"/>
        </w:rPr>
        <w:t xml:space="preserve">  Intriguingly, he went on (at 75) to express a preference for reliance on “numbers of electors rather than numbers of people”.  He explained this as an inference from the constitutional phrase “chosen by the people” (with the emphasis on the word “chosen”).  In the United States the same phrase has been used to support the opposite view (with the emphasis on the word “people”).</w:t>
      </w:r>
    </w:p>
  </w:endnote>
  <w:endnote w:id="31">
    <w:p w14:paraId="350653A4" w14:textId="77777777" w:rsidR="00412423" w:rsidRPr="000E5C25" w:rsidRDefault="00412423" w:rsidP="000E5C25">
      <w:pPr>
        <w:pStyle w:val="EndnoteText"/>
        <w:spacing w:line="160" w:lineRule="exact"/>
        <w:rPr>
          <w:rFonts w:ascii="Arial" w:hAnsi="Arial" w:cs="Arial"/>
          <w:sz w:val="21"/>
          <w:szCs w:val="21"/>
        </w:rPr>
      </w:pPr>
    </w:p>
    <w:p w14:paraId="4EC39252" w14:textId="77777777" w:rsidR="00412423" w:rsidRPr="00EB4BD2" w:rsidRDefault="00412423" w:rsidP="00EB4BD2">
      <w:pPr>
        <w:pStyle w:val="EndnoteText"/>
        <w:spacing w:line="280" w:lineRule="exact"/>
        <w:rPr>
          <w:rFonts w:ascii="Arial" w:hAnsi="Arial" w:cs="Arial"/>
          <w:sz w:val="22"/>
          <w:szCs w:val="22"/>
        </w:rPr>
      </w:pPr>
      <w:r w:rsidRPr="00B76407">
        <w:rPr>
          <w:rFonts w:ascii="Arial" w:hAnsi="Arial" w:cs="Arial"/>
          <w:color w:val="392B7D"/>
          <w:sz w:val="21"/>
          <w:szCs w:val="21"/>
        </w:rPr>
        <w:t>[</w:t>
      </w:r>
      <w:r w:rsidRPr="00B76407">
        <w:rPr>
          <w:rStyle w:val="EndnoteReference"/>
          <w:rFonts w:ascii="Arial" w:hAnsi="Arial" w:cs="Arial"/>
          <w:color w:val="392B7D"/>
          <w:sz w:val="21"/>
          <w:szCs w:val="21"/>
          <w:vertAlign w:val="baseline"/>
        </w:rPr>
        <w:endnoteRef/>
      </w:r>
      <w:r w:rsidRPr="00B76407">
        <w:rPr>
          <w:rFonts w:ascii="Arial" w:hAnsi="Arial" w:cs="Arial"/>
          <w:color w:val="392B7D"/>
          <w:sz w:val="21"/>
          <w:szCs w:val="21"/>
        </w:rPr>
        <w:t>]</w:t>
      </w:r>
      <w:r w:rsidRPr="000E5C25">
        <w:rPr>
          <w:rFonts w:ascii="Arial" w:hAnsi="Arial" w:cs="Arial"/>
          <w:sz w:val="21"/>
          <w:szCs w:val="21"/>
        </w:rPr>
        <w:t xml:space="preserve"> Certiorari granted 19 January 2016; on appeal from </w:t>
      </w:r>
      <w:r w:rsidRPr="000E5C25">
        <w:rPr>
          <w:rFonts w:ascii="Arial" w:hAnsi="Arial" w:cs="Arial"/>
          <w:i/>
          <w:sz w:val="21"/>
          <w:szCs w:val="21"/>
        </w:rPr>
        <w:t>Texas v United States</w:t>
      </w:r>
      <w:r w:rsidRPr="000E5C25">
        <w:rPr>
          <w:rFonts w:ascii="Arial" w:hAnsi="Arial" w:cs="Arial"/>
          <w:sz w:val="21"/>
          <w:szCs w:val="21"/>
        </w:rPr>
        <w:t>, 787 F. 3rd 733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T6Dt00">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73919"/>
      <w:docPartObj>
        <w:docPartGallery w:val="Page Numbers (Bottom of Page)"/>
        <w:docPartUnique/>
      </w:docPartObj>
    </w:sdtPr>
    <w:sdtEndPr>
      <w:rPr>
        <w:noProof/>
      </w:rPr>
    </w:sdtEndPr>
    <w:sdtContent>
      <w:p w14:paraId="5684080F" w14:textId="77777777" w:rsidR="00412423" w:rsidRDefault="00412423">
        <w:pPr>
          <w:pStyle w:val="Footer"/>
          <w:jc w:val="center"/>
        </w:pPr>
        <w:r>
          <w:fldChar w:fldCharType="begin"/>
        </w:r>
        <w:r>
          <w:instrText xml:space="preserve"> PAGE   \* MERGEFORMAT </w:instrText>
        </w:r>
        <w:r>
          <w:fldChar w:fldCharType="separate"/>
        </w:r>
        <w:r w:rsidR="00A5692B">
          <w:rPr>
            <w:noProof/>
          </w:rPr>
          <w:t>9</w:t>
        </w:r>
        <w:r>
          <w:rPr>
            <w:noProof/>
          </w:rPr>
          <w:fldChar w:fldCharType="end"/>
        </w:r>
      </w:p>
    </w:sdtContent>
  </w:sdt>
  <w:p w14:paraId="22361C1D" w14:textId="77777777" w:rsidR="00412423" w:rsidRDefault="00412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4182" w14:textId="77777777" w:rsidR="00783E63" w:rsidRDefault="00783E63" w:rsidP="000B693F">
      <w:pPr>
        <w:spacing w:after="0" w:line="240" w:lineRule="auto"/>
      </w:pPr>
      <w:r>
        <w:separator/>
      </w:r>
    </w:p>
  </w:footnote>
  <w:footnote w:type="continuationSeparator" w:id="0">
    <w:p w14:paraId="21D47888" w14:textId="77777777" w:rsidR="00783E63" w:rsidRDefault="00783E63" w:rsidP="000B6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71"/>
    <w:rsid w:val="000312AE"/>
    <w:rsid w:val="0004266C"/>
    <w:rsid w:val="0006032D"/>
    <w:rsid w:val="000603FC"/>
    <w:rsid w:val="00067009"/>
    <w:rsid w:val="00067882"/>
    <w:rsid w:val="00072021"/>
    <w:rsid w:val="00085E96"/>
    <w:rsid w:val="000B693F"/>
    <w:rsid w:val="000D7760"/>
    <w:rsid w:val="000E13B6"/>
    <w:rsid w:val="000E5C25"/>
    <w:rsid w:val="00112A46"/>
    <w:rsid w:val="00114E74"/>
    <w:rsid w:val="001619AB"/>
    <w:rsid w:val="00163A27"/>
    <w:rsid w:val="00172F2F"/>
    <w:rsid w:val="0018608B"/>
    <w:rsid w:val="00195785"/>
    <w:rsid w:val="001C2FAA"/>
    <w:rsid w:val="001C4247"/>
    <w:rsid w:val="00226E6C"/>
    <w:rsid w:val="00262479"/>
    <w:rsid w:val="0027020C"/>
    <w:rsid w:val="00291FFE"/>
    <w:rsid w:val="002B76D3"/>
    <w:rsid w:val="00323C30"/>
    <w:rsid w:val="00370376"/>
    <w:rsid w:val="003B5060"/>
    <w:rsid w:val="003B60A8"/>
    <w:rsid w:val="003C3645"/>
    <w:rsid w:val="003C60A0"/>
    <w:rsid w:val="003E1C1A"/>
    <w:rsid w:val="00412423"/>
    <w:rsid w:val="0046058B"/>
    <w:rsid w:val="00482123"/>
    <w:rsid w:val="004968B5"/>
    <w:rsid w:val="004B1D31"/>
    <w:rsid w:val="004B7992"/>
    <w:rsid w:val="004D7D44"/>
    <w:rsid w:val="004E5B8B"/>
    <w:rsid w:val="004E7278"/>
    <w:rsid w:val="004E7B0A"/>
    <w:rsid w:val="00514FEB"/>
    <w:rsid w:val="0052216B"/>
    <w:rsid w:val="005541D1"/>
    <w:rsid w:val="00557385"/>
    <w:rsid w:val="0056005F"/>
    <w:rsid w:val="005627D5"/>
    <w:rsid w:val="00571CD5"/>
    <w:rsid w:val="00594A8D"/>
    <w:rsid w:val="005B4B9A"/>
    <w:rsid w:val="0060461C"/>
    <w:rsid w:val="0061356C"/>
    <w:rsid w:val="00667DD8"/>
    <w:rsid w:val="00671595"/>
    <w:rsid w:val="00675DB4"/>
    <w:rsid w:val="00722047"/>
    <w:rsid w:val="00724FBF"/>
    <w:rsid w:val="00777824"/>
    <w:rsid w:val="00783E63"/>
    <w:rsid w:val="007A5DE0"/>
    <w:rsid w:val="007B52BD"/>
    <w:rsid w:val="007D6BCA"/>
    <w:rsid w:val="007E34C0"/>
    <w:rsid w:val="007F5F76"/>
    <w:rsid w:val="0082604A"/>
    <w:rsid w:val="00866D71"/>
    <w:rsid w:val="00874BF1"/>
    <w:rsid w:val="00895BA9"/>
    <w:rsid w:val="008979F3"/>
    <w:rsid w:val="008A083B"/>
    <w:rsid w:val="008C41BA"/>
    <w:rsid w:val="008D65EA"/>
    <w:rsid w:val="00910875"/>
    <w:rsid w:val="009530CA"/>
    <w:rsid w:val="00985690"/>
    <w:rsid w:val="009A7B43"/>
    <w:rsid w:val="009C7806"/>
    <w:rsid w:val="00A14596"/>
    <w:rsid w:val="00A14C37"/>
    <w:rsid w:val="00A17D14"/>
    <w:rsid w:val="00A513A7"/>
    <w:rsid w:val="00A5692B"/>
    <w:rsid w:val="00A9094B"/>
    <w:rsid w:val="00A93D42"/>
    <w:rsid w:val="00AA208D"/>
    <w:rsid w:val="00AA48E2"/>
    <w:rsid w:val="00AB0E87"/>
    <w:rsid w:val="00AC43CE"/>
    <w:rsid w:val="00AD6605"/>
    <w:rsid w:val="00AF7EB8"/>
    <w:rsid w:val="00B41CA9"/>
    <w:rsid w:val="00B53399"/>
    <w:rsid w:val="00B60CD6"/>
    <w:rsid w:val="00B76407"/>
    <w:rsid w:val="00B771F0"/>
    <w:rsid w:val="00B80334"/>
    <w:rsid w:val="00B806AB"/>
    <w:rsid w:val="00B92F1E"/>
    <w:rsid w:val="00B938D3"/>
    <w:rsid w:val="00BB5A1D"/>
    <w:rsid w:val="00BB7460"/>
    <w:rsid w:val="00BB76D4"/>
    <w:rsid w:val="00BD11F0"/>
    <w:rsid w:val="00BE36B9"/>
    <w:rsid w:val="00BF2994"/>
    <w:rsid w:val="00C0602C"/>
    <w:rsid w:val="00C11CAE"/>
    <w:rsid w:val="00C5030C"/>
    <w:rsid w:val="00C90090"/>
    <w:rsid w:val="00C94036"/>
    <w:rsid w:val="00CA48BC"/>
    <w:rsid w:val="00CE32F1"/>
    <w:rsid w:val="00D12259"/>
    <w:rsid w:val="00D15B4A"/>
    <w:rsid w:val="00D20179"/>
    <w:rsid w:val="00D34A21"/>
    <w:rsid w:val="00D54D90"/>
    <w:rsid w:val="00D5787E"/>
    <w:rsid w:val="00D75505"/>
    <w:rsid w:val="00DA5771"/>
    <w:rsid w:val="00DB43C9"/>
    <w:rsid w:val="00DB7983"/>
    <w:rsid w:val="00E04AE6"/>
    <w:rsid w:val="00E05FF7"/>
    <w:rsid w:val="00E321B3"/>
    <w:rsid w:val="00E55FCB"/>
    <w:rsid w:val="00E84BF6"/>
    <w:rsid w:val="00EB4BD2"/>
    <w:rsid w:val="00EB4EF0"/>
    <w:rsid w:val="00EE3EE3"/>
    <w:rsid w:val="00F235AE"/>
    <w:rsid w:val="00F36C1F"/>
    <w:rsid w:val="00F61F1B"/>
    <w:rsid w:val="00F66E54"/>
    <w:rsid w:val="00FA6CB5"/>
    <w:rsid w:val="00FC647F"/>
    <w:rsid w:val="00FF09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1A"/>
  </w:style>
  <w:style w:type="paragraph" w:styleId="Heading2">
    <w:name w:val="heading 2"/>
    <w:basedOn w:val="Normal"/>
    <w:link w:val="Heading2Char"/>
    <w:uiPriority w:val="9"/>
    <w:qFormat/>
    <w:rsid w:val="007B52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595"/>
    <w:pPr>
      <w:autoSpaceDE w:val="0"/>
      <w:autoSpaceDN w:val="0"/>
      <w:adjustRightInd w:val="0"/>
      <w:spacing w:after="0" w:line="240" w:lineRule="auto"/>
    </w:pPr>
    <w:rPr>
      <w:rFonts w:ascii="TT6Dt00" w:hAnsi="TT6Dt00" w:cs="TT6Dt00"/>
      <w:color w:val="000000"/>
      <w:sz w:val="24"/>
      <w:szCs w:val="24"/>
    </w:rPr>
  </w:style>
  <w:style w:type="paragraph" w:styleId="FootnoteText">
    <w:name w:val="footnote text"/>
    <w:basedOn w:val="Normal"/>
    <w:link w:val="FootnoteTextChar"/>
    <w:uiPriority w:val="99"/>
    <w:semiHidden/>
    <w:rsid w:val="00AF7E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F7EB8"/>
    <w:rPr>
      <w:rFonts w:ascii="Times New Roman" w:eastAsia="Times New Roman" w:hAnsi="Times New Roman" w:cs="Times New Roman"/>
      <w:sz w:val="20"/>
      <w:szCs w:val="20"/>
      <w:lang w:val="en-US"/>
    </w:rPr>
  </w:style>
  <w:style w:type="character" w:styleId="Emphasis">
    <w:name w:val="Emphasis"/>
    <w:uiPriority w:val="20"/>
    <w:qFormat/>
    <w:rsid w:val="00AF7EB8"/>
    <w:rPr>
      <w:b/>
      <w:bCs/>
      <w:i w:val="0"/>
      <w:iCs w:val="0"/>
    </w:rPr>
  </w:style>
  <w:style w:type="character" w:customStyle="1" w:styleId="st1">
    <w:name w:val="st1"/>
    <w:rsid w:val="00AF7EB8"/>
  </w:style>
  <w:style w:type="character" w:customStyle="1" w:styleId="Heading2Char">
    <w:name w:val="Heading 2 Char"/>
    <w:basedOn w:val="DefaultParagraphFont"/>
    <w:link w:val="Heading2"/>
    <w:uiPriority w:val="9"/>
    <w:rsid w:val="007B52B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B52BD"/>
    <w:rPr>
      <w:color w:val="0000FF"/>
      <w:u w:val="single"/>
    </w:rPr>
  </w:style>
  <w:style w:type="character" w:styleId="Strong">
    <w:name w:val="Strong"/>
    <w:basedOn w:val="DefaultParagraphFont"/>
    <w:uiPriority w:val="22"/>
    <w:qFormat/>
    <w:rsid w:val="00085E96"/>
    <w:rPr>
      <w:b/>
      <w:bCs/>
    </w:rPr>
  </w:style>
  <w:style w:type="paragraph" w:styleId="BalloonText">
    <w:name w:val="Balloon Text"/>
    <w:basedOn w:val="Normal"/>
    <w:link w:val="BalloonTextChar"/>
    <w:uiPriority w:val="99"/>
    <w:semiHidden/>
    <w:unhideWhenUsed/>
    <w:rsid w:val="000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96"/>
    <w:rPr>
      <w:rFonts w:ascii="Tahoma" w:hAnsi="Tahoma" w:cs="Tahoma"/>
      <w:sz w:val="16"/>
      <w:szCs w:val="16"/>
    </w:rPr>
  </w:style>
  <w:style w:type="paragraph" w:styleId="EndnoteText">
    <w:name w:val="endnote text"/>
    <w:basedOn w:val="Normal"/>
    <w:link w:val="EndnoteTextChar"/>
    <w:uiPriority w:val="99"/>
    <w:semiHidden/>
    <w:unhideWhenUsed/>
    <w:rsid w:val="000B6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93F"/>
    <w:rPr>
      <w:sz w:val="20"/>
      <w:szCs w:val="20"/>
    </w:rPr>
  </w:style>
  <w:style w:type="character" w:styleId="EndnoteReference">
    <w:name w:val="endnote reference"/>
    <w:basedOn w:val="DefaultParagraphFont"/>
    <w:uiPriority w:val="99"/>
    <w:semiHidden/>
    <w:unhideWhenUsed/>
    <w:rsid w:val="000B693F"/>
    <w:rPr>
      <w:vertAlign w:val="superscript"/>
    </w:rPr>
  </w:style>
  <w:style w:type="paragraph" w:styleId="NormalWeb">
    <w:name w:val="Normal (Web)"/>
    <w:basedOn w:val="Normal"/>
    <w:uiPriority w:val="99"/>
    <w:unhideWhenUsed/>
    <w:rsid w:val="000B69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B693F"/>
  </w:style>
  <w:style w:type="paragraph" w:styleId="Header">
    <w:name w:val="header"/>
    <w:basedOn w:val="Normal"/>
    <w:link w:val="HeaderChar"/>
    <w:uiPriority w:val="99"/>
    <w:unhideWhenUsed/>
    <w:rsid w:val="00777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824"/>
  </w:style>
  <w:style w:type="paragraph" w:styleId="Footer">
    <w:name w:val="footer"/>
    <w:basedOn w:val="Normal"/>
    <w:link w:val="FooterChar"/>
    <w:uiPriority w:val="99"/>
    <w:unhideWhenUsed/>
    <w:rsid w:val="00777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24"/>
  </w:style>
  <w:style w:type="paragraph" w:styleId="NoSpacing">
    <w:name w:val="No Spacing"/>
    <w:uiPriority w:val="1"/>
    <w:qFormat/>
    <w:rsid w:val="00D5787E"/>
    <w:pPr>
      <w:spacing w:after="0" w:line="240" w:lineRule="auto"/>
    </w:pPr>
  </w:style>
  <w:style w:type="paragraph" w:customStyle="1" w:styleId="CM39">
    <w:name w:val="CM39"/>
    <w:basedOn w:val="Default"/>
    <w:next w:val="Default"/>
    <w:uiPriority w:val="99"/>
    <w:rsid w:val="0004266C"/>
    <w:rPr>
      <w:rFonts w:ascii="Century Schoolbook" w:eastAsia="Times New Roman" w:hAnsi="Century Schoolbook" w:cs="Times New Roman"/>
      <w:color w:val="auto"/>
      <w:lang w:eastAsia="en-AU"/>
    </w:rPr>
  </w:style>
  <w:style w:type="character" w:styleId="CommentReference">
    <w:name w:val="annotation reference"/>
    <w:basedOn w:val="DefaultParagraphFont"/>
    <w:uiPriority w:val="99"/>
    <w:semiHidden/>
    <w:unhideWhenUsed/>
    <w:rsid w:val="004B1D31"/>
    <w:rPr>
      <w:sz w:val="18"/>
      <w:szCs w:val="18"/>
    </w:rPr>
  </w:style>
  <w:style w:type="paragraph" w:styleId="CommentText">
    <w:name w:val="annotation text"/>
    <w:basedOn w:val="Normal"/>
    <w:link w:val="CommentTextChar"/>
    <w:uiPriority w:val="99"/>
    <w:semiHidden/>
    <w:unhideWhenUsed/>
    <w:rsid w:val="004B1D31"/>
    <w:pPr>
      <w:spacing w:line="240" w:lineRule="auto"/>
    </w:pPr>
    <w:rPr>
      <w:sz w:val="24"/>
      <w:szCs w:val="24"/>
    </w:rPr>
  </w:style>
  <w:style w:type="character" w:customStyle="1" w:styleId="CommentTextChar">
    <w:name w:val="Comment Text Char"/>
    <w:basedOn w:val="DefaultParagraphFont"/>
    <w:link w:val="CommentText"/>
    <w:uiPriority w:val="99"/>
    <w:semiHidden/>
    <w:rsid w:val="004B1D31"/>
    <w:rPr>
      <w:sz w:val="24"/>
      <w:szCs w:val="24"/>
    </w:rPr>
  </w:style>
  <w:style w:type="paragraph" w:styleId="CommentSubject">
    <w:name w:val="annotation subject"/>
    <w:basedOn w:val="CommentText"/>
    <w:next w:val="CommentText"/>
    <w:link w:val="CommentSubjectChar"/>
    <w:uiPriority w:val="99"/>
    <w:semiHidden/>
    <w:unhideWhenUsed/>
    <w:rsid w:val="004B1D31"/>
    <w:rPr>
      <w:b/>
      <w:bCs/>
      <w:sz w:val="20"/>
      <w:szCs w:val="20"/>
    </w:rPr>
  </w:style>
  <w:style w:type="character" w:customStyle="1" w:styleId="CommentSubjectChar">
    <w:name w:val="Comment Subject Char"/>
    <w:basedOn w:val="CommentTextChar"/>
    <w:link w:val="CommentSubject"/>
    <w:uiPriority w:val="99"/>
    <w:semiHidden/>
    <w:rsid w:val="004B1D31"/>
    <w:rPr>
      <w:b/>
      <w:bCs/>
      <w:sz w:val="20"/>
      <w:szCs w:val="20"/>
    </w:rPr>
  </w:style>
  <w:style w:type="paragraph" w:styleId="DocumentMap">
    <w:name w:val="Document Map"/>
    <w:basedOn w:val="Normal"/>
    <w:link w:val="DocumentMapChar"/>
    <w:uiPriority w:val="99"/>
    <w:semiHidden/>
    <w:unhideWhenUsed/>
    <w:rsid w:val="0041242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1242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1A"/>
  </w:style>
  <w:style w:type="paragraph" w:styleId="Heading2">
    <w:name w:val="heading 2"/>
    <w:basedOn w:val="Normal"/>
    <w:link w:val="Heading2Char"/>
    <w:uiPriority w:val="9"/>
    <w:qFormat/>
    <w:rsid w:val="007B52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595"/>
    <w:pPr>
      <w:autoSpaceDE w:val="0"/>
      <w:autoSpaceDN w:val="0"/>
      <w:adjustRightInd w:val="0"/>
      <w:spacing w:after="0" w:line="240" w:lineRule="auto"/>
    </w:pPr>
    <w:rPr>
      <w:rFonts w:ascii="TT6Dt00" w:hAnsi="TT6Dt00" w:cs="TT6Dt00"/>
      <w:color w:val="000000"/>
      <w:sz w:val="24"/>
      <w:szCs w:val="24"/>
    </w:rPr>
  </w:style>
  <w:style w:type="paragraph" w:styleId="FootnoteText">
    <w:name w:val="footnote text"/>
    <w:basedOn w:val="Normal"/>
    <w:link w:val="FootnoteTextChar"/>
    <w:uiPriority w:val="99"/>
    <w:semiHidden/>
    <w:rsid w:val="00AF7E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F7EB8"/>
    <w:rPr>
      <w:rFonts w:ascii="Times New Roman" w:eastAsia="Times New Roman" w:hAnsi="Times New Roman" w:cs="Times New Roman"/>
      <w:sz w:val="20"/>
      <w:szCs w:val="20"/>
      <w:lang w:val="en-US"/>
    </w:rPr>
  </w:style>
  <w:style w:type="character" w:styleId="Emphasis">
    <w:name w:val="Emphasis"/>
    <w:uiPriority w:val="20"/>
    <w:qFormat/>
    <w:rsid w:val="00AF7EB8"/>
    <w:rPr>
      <w:b/>
      <w:bCs/>
      <w:i w:val="0"/>
      <w:iCs w:val="0"/>
    </w:rPr>
  </w:style>
  <w:style w:type="character" w:customStyle="1" w:styleId="st1">
    <w:name w:val="st1"/>
    <w:rsid w:val="00AF7EB8"/>
  </w:style>
  <w:style w:type="character" w:customStyle="1" w:styleId="Heading2Char">
    <w:name w:val="Heading 2 Char"/>
    <w:basedOn w:val="DefaultParagraphFont"/>
    <w:link w:val="Heading2"/>
    <w:uiPriority w:val="9"/>
    <w:rsid w:val="007B52B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B52BD"/>
    <w:rPr>
      <w:color w:val="0000FF"/>
      <w:u w:val="single"/>
    </w:rPr>
  </w:style>
  <w:style w:type="character" w:styleId="Strong">
    <w:name w:val="Strong"/>
    <w:basedOn w:val="DefaultParagraphFont"/>
    <w:uiPriority w:val="22"/>
    <w:qFormat/>
    <w:rsid w:val="00085E96"/>
    <w:rPr>
      <w:b/>
      <w:bCs/>
    </w:rPr>
  </w:style>
  <w:style w:type="paragraph" w:styleId="BalloonText">
    <w:name w:val="Balloon Text"/>
    <w:basedOn w:val="Normal"/>
    <w:link w:val="BalloonTextChar"/>
    <w:uiPriority w:val="99"/>
    <w:semiHidden/>
    <w:unhideWhenUsed/>
    <w:rsid w:val="000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96"/>
    <w:rPr>
      <w:rFonts w:ascii="Tahoma" w:hAnsi="Tahoma" w:cs="Tahoma"/>
      <w:sz w:val="16"/>
      <w:szCs w:val="16"/>
    </w:rPr>
  </w:style>
  <w:style w:type="paragraph" w:styleId="EndnoteText">
    <w:name w:val="endnote text"/>
    <w:basedOn w:val="Normal"/>
    <w:link w:val="EndnoteTextChar"/>
    <w:uiPriority w:val="99"/>
    <w:semiHidden/>
    <w:unhideWhenUsed/>
    <w:rsid w:val="000B6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93F"/>
    <w:rPr>
      <w:sz w:val="20"/>
      <w:szCs w:val="20"/>
    </w:rPr>
  </w:style>
  <w:style w:type="character" w:styleId="EndnoteReference">
    <w:name w:val="endnote reference"/>
    <w:basedOn w:val="DefaultParagraphFont"/>
    <w:uiPriority w:val="99"/>
    <w:semiHidden/>
    <w:unhideWhenUsed/>
    <w:rsid w:val="000B693F"/>
    <w:rPr>
      <w:vertAlign w:val="superscript"/>
    </w:rPr>
  </w:style>
  <w:style w:type="paragraph" w:styleId="NormalWeb">
    <w:name w:val="Normal (Web)"/>
    <w:basedOn w:val="Normal"/>
    <w:uiPriority w:val="99"/>
    <w:unhideWhenUsed/>
    <w:rsid w:val="000B69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B693F"/>
  </w:style>
  <w:style w:type="paragraph" w:styleId="Header">
    <w:name w:val="header"/>
    <w:basedOn w:val="Normal"/>
    <w:link w:val="HeaderChar"/>
    <w:uiPriority w:val="99"/>
    <w:unhideWhenUsed/>
    <w:rsid w:val="00777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824"/>
  </w:style>
  <w:style w:type="paragraph" w:styleId="Footer">
    <w:name w:val="footer"/>
    <w:basedOn w:val="Normal"/>
    <w:link w:val="FooterChar"/>
    <w:uiPriority w:val="99"/>
    <w:unhideWhenUsed/>
    <w:rsid w:val="00777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24"/>
  </w:style>
  <w:style w:type="paragraph" w:styleId="NoSpacing">
    <w:name w:val="No Spacing"/>
    <w:uiPriority w:val="1"/>
    <w:qFormat/>
    <w:rsid w:val="00D5787E"/>
    <w:pPr>
      <w:spacing w:after="0" w:line="240" w:lineRule="auto"/>
    </w:pPr>
  </w:style>
  <w:style w:type="paragraph" w:customStyle="1" w:styleId="CM39">
    <w:name w:val="CM39"/>
    <w:basedOn w:val="Default"/>
    <w:next w:val="Default"/>
    <w:uiPriority w:val="99"/>
    <w:rsid w:val="0004266C"/>
    <w:rPr>
      <w:rFonts w:ascii="Century Schoolbook" w:eastAsia="Times New Roman" w:hAnsi="Century Schoolbook" w:cs="Times New Roman"/>
      <w:color w:val="auto"/>
      <w:lang w:eastAsia="en-AU"/>
    </w:rPr>
  </w:style>
  <w:style w:type="character" w:styleId="CommentReference">
    <w:name w:val="annotation reference"/>
    <w:basedOn w:val="DefaultParagraphFont"/>
    <w:uiPriority w:val="99"/>
    <w:semiHidden/>
    <w:unhideWhenUsed/>
    <w:rsid w:val="004B1D31"/>
    <w:rPr>
      <w:sz w:val="18"/>
      <w:szCs w:val="18"/>
    </w:rPr>
  </w:style>
  <w:style w:type="paragraph" w:styleId="CommentText">
    <w:name w:val="annotation text"/>
    <w:basedOn w:val="Normal"/>
    <w:link w:val="CommentTextChar"/>
    <w:uiPriority w:val="99"/>
    <w:semiHidden/>
    <w:unhideWhenUsed/>
    <w:rsid w:val="004B1D31"/>
    <w:pPr>
      <w:spacing w:line="240" w:lineRule="auto"/>
    </w:pPr>
    <w:rPr>
      <w:sz w:val="24"/>
      <w:szCs w:val="24"/>
    </w:rPr>
  </w:style>
  <w:style w:type="character" w:customStyle="1" w:styleId="CommentTextChar">
    <w:name w:val="Comment Text Char"/>
    <w:basedOn w:val="DefaultParagraphFont"/>
    <w:link w:val="CommentText"/>
    <w:uiPriority w:val="99"/>
    <w:semiHidden/>
    <w:rsid w:val="004B1D31"/>
    <w:rPr>
      <w:sz w:val="24"/>
      <w:szCs w:val="24"/>
    </w:rPr>
  </w:style>
  <w:style w:type="paragraph" w:styleId="CommentSubject">
    <w:name w:val="annotation subject"/>
    <w:basedOn w:val="CommentText"/>
    <w:next w:val="CommentText"/>
    <w:link w:val="CommentSubjectChar"/>
    <w:uiPriority w:val="99"/>
    <w:semiHidden/>
    <w:unhideWhenUsed/>
    <w:rsid w:val="004B1D31"/>
    <w:rPr>
      <w:b/>
      <w:bCs/>
      <w:sz w:val="20"/>
      <w:szCs w:val="20"/>
    </w:rPr>
  </w:style>
  <w:style w:type="character" w:customStyle="1" w:styleId="CommentSubjectChar">
    <w:name w:val="Comment Subject Char"/>
    <w:basedOn w:val="CommentTextChar"/>
    <w:link w:val="CommentSubject"/>
    <w:uiPriority w:val="99"/>
    <w:semiHidden/>
    <w:rsid w:val="004B1D31"/>
    <w:rPr>
      <w:b/>
      <w:bCs/>
      <w:sz w:val="20"/>
      <w:szCs w:val="20"/>
    </w:rPr>
  </w:style>
  <w:style w:type="paragraph" w:styleId="DocumentMap">
    <w:name w:val="Document Map"/>
    <w:basedOn w:val="Normal"/>
    <w:link w:val="DocumentMapChar"/>
    <w:uiPriority w:val="99"/>
    <w:semiHidden/>
    <w:unhideWhenUsed/>
    <w:rsid w:val="0041242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124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4881">
      <w:bodyDiv w:val="1"/>
      <w:marLeft w:val="0"/>
      <w:marRight w:val="0"/>
      <w:marTop w:val="0"/>
      <w:marBottom w:val="0"/>
      <w:divBdr>
        <w:top w:val="none" w:sz="0" w:space="0" w:color="auto"/>
        <w:left w:val="none" w:sz="0" w:space="0" w:color="auto"/>
        <w:bottom w:val="none" w:sz="0" w:space="0" w:color="auto"/>
        <w:right w:val="none" w:sz="0" w:space="0" w:color="auto"/>
      </w:divBdr>
    </w:div>
    <w:div w:id="189074387">
      <w:bodyDiv w:val="1"/>
      <w:marLeft w:val="0"/>
      <w:marRight w:val="0"/>
      <w:marTop w:val="0"/>
      <w:marBottom w:val="0"/>
      <w:divBdr>
        <w:top w:val="none" w:sz="0" w:space="0" w:color="auto"/>
        <w:left w:val="none" w:sz="0" w:space="0" w:color="auto"/>
        <w:bottom w:val="none" w:sz="0" w:space="0" w:color="auto"/>
        <w:right w:val="none" w:sz="0" w:space="0" w:color="auto"/>
      </w:divBdr>
      <w:divsChild>
        <w:div w:id="606157151">
          <w:blockQuote w:val="1"/>
          <w:marLeft w:val="0"/>
          <w:marRight w:val="0"/>
          <w:marTop w:val="0"/>
          <w:marBottom w:val="264"/>
          <w:divBdr>
            <w:top w:val="none" w:sz="0" w:space="0" w:color="auto"/>
            <w:left w:val="none" w:sz="0" w:space="0" w:color="auto"/>
            <w:bottom w:val="none" w:sz="0" w:space="0" w:color="auto"/>
            <w:right w:val="none" w:sz="0" w:space="0" w:color="auto"/>
          </w:divBdr>
        </w:div>
        <w:div w:id="855268299">
          <w:blockQuote w:val="1"/>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auspublaw.org/2016/03/justifications-for-initiating-a-constitutional-amend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DD87-A85F-A545-85AD-4BB8DCAB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4763</Words>
  <Characters>27154</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 Brennan</cp:lastModifiedBy>
  <cp:revision>2</cp:revision>
  <cp:lastPrinted>2016-04-01T05:38:00Z</cp:lastPrinted>
  <dcterms:created xsi:type="dcterms:W3CDTF">2016-04-12T03:30:00Z</dcterms:created>
  <dcterms:modified xsi:type="dcterms:W3CDTF">2016-04-12T03:30:00Z</dcterms:modified>
</cp:coreProperties>
</file>